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eastAsia="宋体"/>
          <w:sz w:val="22"/>
          <w:szCs w:val="22"/>
          <w:lang w:val="en-GB" w:eastAsia="zh-CN"/>
        </w:rPr>
      </w:pPr>
      <w:r>
        <w:rPr>
          <w:sz w:val="22"/>
          <w:szCs w:val="22"/>
          <w:lang w:val="en-GB"/>
        </w:rPr>
        <w:t>3GPP TSG-RAN WG2</w:t>
      </w:r>
      <w:r>
        <w:rPr>
          <w:rFonts w:hint="eastAsia" w:eastAsia="宋体"/>
          <w:sz w:val="22"/>
          <w:szCs w:val="22"/>
          <w:lang w:val="en-GB" w:eastAsia="zh-CN"/>
        </w:rPr>
        <w:t xml:space="preserve"> Meeting #10</w:t>
      </w:r>
      <w:r>
        <w:rPr>
          <w:rFonts w:eastAsia="宋体"/>
          <w:sz w:val="22"/>
          <w:szCs w:val="22"/>
          <w:lang w:val="en-GB" w:eastAsia="zh-CN"/>
        </w:rPr>
        <w:t xml:space="preserve">6     </w:t>
      </w:r>
      <w:r>
        <w:rPr>
          <w:sz w:val="22"/>
          <w:szCs w:val="22"/>
          <w:lang w:val="en-GB"/>
        </w:rPr>
        <w:t xml:space="preserve">                                         </w:t>
      </w:r>
      <w:r>
        <w:rPr>
          <w:rFonts w:hint="eastAsia" w:eastAsia="宋体"/>
          <w:sz w:val="22"/>
          <w:szCs w:val="22"/>
          <w:lang w:val="en-GB" w:eastAsia="zh-CN"/>
        </w:rPr>
        <w:t xml:space="preserve"> </w:t>
      </w:r>
      <w:r>
        <w:rPr>
          <w:sz w:val="22"/>
          <w:szCs w:val="22"/>
          <w:lang w:val="en-GB"/>
        </w:rPr>
        <w:t xml:space="preserve"> </w:t>
      </w:r>
      <w:r>
        <w:rPr>
          <w:rFonts w:hint="eastAsia" w:eastAsia="宋体"/>
          <w:sz w:val="22"/>
          <w:szCs w:val="22"/>
          <w:lang w:val="en-GB" w:eastAsia="zh-CN"/>
        </w:rPr>
        <w:t xml:space="preserve">        </w:t>
      </w:r>
      <w:r>
        <w:rPr>
          <w:sz w:val="22"/>
          <w:szCs w:val="22"/>
          <w:lang w:val="en-GB"/>
        </w:rPr>
        <w:t>R2-1</w:t>
      </w:r>
      <w:r>
        <w:rPr>
          <w:rFonts w:hint="eastAsia" w:eastAsia="宋体"/>
          <w:sz w:val="22"/>
          <w:szCs w:val="22"/>
          <w:lang w:val="en-GB" w:eastAsia="zh-CN"/>
        </w:rPr>
        <w:t>90</w:t>
      </w:r>
      <w:r>
        <w:rPr>
          <w:rFonts w:eastAsia="宋体"/>
          <w:sz w:val="22"/>
          <w:szCs w:val="22"/>
          <w:lang w:val="en-GB" w:eastAsia="zh-CN"/>
        </w:rPr>
        <w:t>5742</w:t>
      </w:r>
    </w:p>
    <w:p>
      <w:pPr>
        <w:pStyle w:val="17"/>
        <w:rPr>
          <w:lang w:val="en-GB"/>
        </w:rPr>
      </w:pPr>
      <w:r>
        <w:rPr>
          <w:rFonts w:eastAsia="宋体"/>
          <w:sz w:val="22"/>
          <w:szCs w:val="22"/>
          <w:lang w:val="en-GB" w:eastAsia="zh-CN"/>
        </w:rPr>
        <w:t>Reno</w:t>
      </w:r>
      <w:r>
        <w:rPr>
          <w:sz w:val="22"/>
          <w:szCs w:val="22"/>
          <w:lang w:val="en-GB"/>
        </w:rPr>
        <w:t xml:space="preserve">, </w:t>
      </w:r>
      <w:r>
        <w:rPr>
          <w:rFonts w:hint="eastAsia" w:eastAsiaTheme="minorEastAsia"/>
          <w:sz w:val="22"/>
          <w:szCs w:val="22"/>
          <w:lang w:val="en-GB" w:eastAsia="zh-CN"/>
        </w:rPr>
        <w:t>USA</w:t>
      </w:r>
      <w:r>
        <w:rPr>
          <w:sz w:val="22"/>
          <w:szCs w:val="22"/>
          <w:lang w:val="en-GB"/>
        </w:rPr>
        <w:t xml:space="preserve">, </w:t>
      </w:r>
      <w:r>
        <w:rPr>
          <w:rFonts w:hint="eastAsia" w:eastAsia="宋体"/>
          <w:sz w:val="22"/>
          <w:szCs w:val="22"/>
          <w:lang w:val="en-GB" w:eastAsia="zh-CN"/>
        </w:rPr>
        <w:t>13</w:t>
      </w:r>
      <w:r>
        <w:rPr>
          <w:sz w:val="22"/>
          <w:szCs w:val="22"/>
          <w:vertAlign w:val="superscript"/>
          <w:lang w:val="en-GB"/>
        </w:rPr>
        <w:t>th</w:t>
      </w:r>
      <w:r>
        <w:rPr>
          <w:rFonts w:hint="eastAsia" w:eastAsia="宋体"/>
          <w:sz w:val="22"/>
          <w:szCs w:val="22"/>
          <w:lang w:val="en-GB" w:eastAsia="zh-CN"/>
        </w:rPr>
        <w:t xml:space="preserve"> May</w:t>
      </w:r>
      <w:r>
        <w:rPr>
          <w:sz w:val="22"/>
          <w:szCs w:val="22"/>
          <w:lang w:val="en-GB"/>
        </w:rPr>
        <w:t xml:space="preserve"> – </w:t>
      </w:r>
      <w:r>
        <w:rPr>
          <w:rFonts w:hint="eastAsia" w:eastAsia="宋体"/>
          <w:sz w:val="22"/>
          <w:szCs w:val="22"/>
          <w:lang w:val="en-GB" w:eastAsia="zh-CN"/>
        </w:rPr>
        <w:t>17</w:t>
      </w:r>
      <w:r>
        <w:rPr>
          <w:rFonts w:hint="eastAsia" w:eastAsia="宋体"/>
          <w:sz w:val="22"/>
          <w:szCs w:val="22"/>
          <w:vertAlign w:val="superscript"/>
          <w:lang w:val="en-GB" w:eastAsia="zh-CN"/>
        </w:rPr>
        <w:t>th</w:t>
      </w:r>
      <w:r>
        <w:rPr>
          <w:rFonts w:hint="eastAsia" w:eastAsia="宋体"/>
          <w:sz w:val="22"/>
          <w:szCs w:val="22"/>
          <w:lang w:val="en-GB" w:eastAsia="zh-CN"/>
        </w:rPr>
        <w:t xml:space="preserve"> May</w:t>
      </w:r>
      <w:r>
        <w:rPr>
          <w:sz w:val="22"/>
          <w:szCs w:val="22"/>
          <w:lang w:val="en-GB"/>
        </w:rPr>
        <w:t xml:space="preserve"> 201</w:t>
      </w:r>
      <w:r>
        <w:rPr>
          <w:rFonts w:hint="eastAsia" w:eastAsiaTheme="minorEastAsia"/>
          <w:sz w:val="22"/>
          <w:szCs w:val="22"/>
          <w:lang w:val="en-GB" w:eastAsia="zh-CN"/>
        </w:rPr>
        <w:t>9</w:t>
      </w:r>
      <w:r>
        <w:rPr>
          <w:rFonts w:hint="eastAsia" w:eastAsiaTheme="minorEastAsia"/>
          <w:sz w:val="22"/>
          <w:szCs w:val="22"/>
          <w:lang w:val="en-US" w:eastAsia="zh-CN"/>
        </w:rPr>
        <w:t xml:space="preserve">         </w:t>
      </w:r>
      <w:r>
        <w:rPr>
          <w:sz w:val="22"/>
          <w:szCs w:val="22"/>
          <w:lang w:val="en-GB"/>
        </w:rPr>
        <w:t xml:space="preserve">          </w:t>
      </w:r>
      <w:bookmarkStart w:id="9" w:name="_GoBack"/>
      <w:bookmarkEnd w:id="9"/>
      <w:r>
        <w:rPr>
          <w:sz w:val="22"/>
          <w:szCs w:val="22"/>
          <w:lang w:val="en-GB"/>
        </w:rPr>
        <w:t xml:space="preserve">                  </w:t>
      </w:r>
      <w:r>
        <w:rPr>
          <w:i/>
          <w:szCs w:val="22"/>
          <w:lang w:val="en-GB"/>
        </w:rPr>
        <w:t>revision of R2-1903147</w:t>
      </w:r>
    </w:p>
    <w:p>
      <w:pPr>
        <w:pStyle w:val="17"/>
        <w:rPr>
          <w:sz w:val="22"/>
          <w:szCs w:val="22"/>
          <w:lang w:val="en-GB"/>
        </w:rPr>
      </w:pPr>
      <w:r>
        <w:rPr>
          <w:sz w:val="22"/>
          <w:szCs w:val="22"/>
          <w:lang w:val="en-GB"/>
        </w:rPr>
        <w:t xml:space="preserve">                                   </w:t>
      </w:r>
    </w:p>
    <w:p>
      <w:pPr>
        <w:pStyle w:val="17"/>
        <w:tabs>
          <w:tab w:val="left" w:pos="1910"/>
          <w:tab w:val="clear" w:pos="4536"/>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Huawei, HiSilicon </w:t>
      </w:r>
    </w:p>
    <w:p>
      <w:pPr>
        <w:pStyle w:val="17"/>
        <w:tabs>
          <w:tab w:val="left" w:pos="1800"/>
          <w:tab w:val="clear" w:pos="4536"/>
        </w:tabs>
        <w:jc w:val="both"/>
        <w:rPr>
          <w:rFonts w:cs="Arial" w:eastAsiaTheme="minorEastAsia"/>
          <w:sz w:val="22"/>
          <w:szCs w:val="22"/>
          <w:lang w:eastAsia="zh-CN"/>
        </w:rPr>
      </w:pPr>
      <w:r>
        <w:rPr>
          <w:rFonts w:cs="Arial"/>
          <w:sz w:val="22"/>
          <w:szCs w:val="22"/>
        </w:rPr>
        <w:t>Title:</w:t>
      </w:r>
      <w:bookmarkStart w:id="0" w:name="Title"/>
      <w:bookmarkEnd w:id="0"/>
      <w:r>
        <w:rPr>
          <w:rFonts w:cs="Arial"/>
          <w:sz w:val="22"/>
          <w:szCs w:val="22"/>
        </w:rPr>
        <w:tab/>
      </w:r>
      <w:r>
        <w:rPr>
          <w:rFonts w:cs="Arial"/>
          <w:sz w:val="22"/>
          <w:szCs w:val="22"/>
        </w:rPr>
        <w:t>Addressing the reliability in LCP channel mapping restriction</w:t>
      </w:r>
    </w:p>
    <w:p>
      <w:pPr>
        <w:pStyle w:val="17"/>
        <w:tabs>
          <w:tab w:val="left" w:pos="1800"/>
          <w:tab w:val="clear" w:pos="4536"/>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hint="eastAsia" w:eastAsia="宋体" w:cs="Arial"/>
          <w:sz w:val="22"/>
          <w:szCs w:val="22"/>
          <w:lang w:eastAsia="zh-CN"/>
        </w:rPr>
        <w:t>11.7.</w:t>
      </w:r>
      <w:r>
        <w:rPr>
          <w:rFonts w:eastAsia="宋体" w:cs="Arial"/>
          <w:sz w:val="22"/>
          <w:szCs w:val="22"/>
          <w:lang w:eastAsia="zh-CN"/>
        </w:rPr>
        <w:t>2.2</w:t>
      </w:r>
    </w:p>
    <w:p>
      <w:pPr>
        <w:pStyle w:val="17"/>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hint="eastAsia" w:eastAsia="宋体" w:cs="Arial"/>
          <w:sz w:val="22"/>
          <w:szCs w:val="22"/>
          <w:lang w:eastAsia="zh-CN"/>
        </w:rPr>
        <w:t xml:space="preserve"> and Decision</w:t>
      </w:r>
    </w:p>
    <w:p>
      <w:pPr>
        <w:pBdr>
          <w:bottom w:val="single" w:color="auto" w:sz="4" w:space="1"/>
        </w:pBdr>
        <w:tabs>
          <w:tab w:val="left" w:pos="2552"/>
        </w:tabs>
        <w:jc w:val="both"/>
      </w:pPr>
    </w:p>
    <w:p>
      <w:pPr>
        <w:pStyle w:val="2"/>
        <w:jc w:val="both"/>
        <w:rPr>
          <w:szCs w:val="28"/>
        </w:rPr>
      </w:pPr>
      <w:bookmarkStart w:id="3" w:name="_Ref528762725"/>
      <w:r>
        <w:rPr>
          <w:szCs w:val="28"/>
        </w:rPr>
        <w:t>Introduction</w:t>
      </w:r>
      <w:bookmarkEnd w:id="3"/>
    </w:p>
    <w:p>
      <w:pPr>
        <w:pStyle w:val="3"/>
        <w:rPr>
          <w:rFonts w:eastAsia="宋体"/>
          <w:lang w:eastAsia="zh-CN"/>
        </w:rPr>
      </w:pPr>
      <w:bookmarkStart w:id="4" w:name="OLE_LINK1"/>
      <w:bookmarkStart w:id="5" w:name="OLE_LINK2"/>
      <w:r>
        <w:rPr>
          <w:rFonts w:eastAsia="宋体"/>
          <w:lang w:eastAsia="zh-CN"/>
        </w:rPr>
        <w:t>Rel-15 introduced in MAC the concept of LCP channel mapping restrictions, by which some filtering is applied to some logical channels as a pre-selection of UL grants they can bid for. Such filters are based on the physical characteristics of the PUSCH allocation indicated by the UL grant, such as PUSCH duration and numerology, or sub-carrier spacing (SCS). This aims at forcing URLLC LCHs to use appropriate grants and/or preventing other LCHs from using some grants, targeted for URLLC. However, Rel-15 LCP channel mapping restrictions mainly focused on the latency aspect of URLLC, but the reliability component is missing.</w:t>
      </w:r>
    </w:p>
    <w:p>
      <w:pPr>
        <w:pStyle w:val="3"/>
        <w:rPr>
          <w:rFonts w:eastAsia="宋体"/>
          <w:lang w:eastAsia="zh-CN"/>
        </w:rPr>
      </w:pPr>
      <w:r>
        <w:rPr>
          <w:rFonts w:eastAsia="宋体"/>
          <w:lang w:eastAsia="zh-CN"/>
        </w:rPr>
        <w:t>In this contribution we propose to upgrade the Rel-15 parameter set defining the LCP channel mapping restrictions to include a reliability parameter.</w:t>
      </w:r>
    </w:p>
    <w:bookmarkEnd w:id="4"/>
    <w:bookmarkEnd w:id="5"/>
    <w:p>
      <w:pPr>
        <w:pStyle w:val="2"/>
        <w:jc w:val="both"/>
      </w:pPr>
      <w:r>
        <w:rPr>
          <w:rFonts w:hint="eastAsia"/>
        </w:rPr>
        <w:t>Discussion</w:t>
      </w:r>
    </w:p>
    <w:p>
      <w:pPr>
        <w:jc w:val="both"/>
      </w:pPr>
      <w:r>
        <w:t xml:space="preserve">The recent SA1 specification TS 22.104 </w:t>
      </w:r>
      <w:r>
        <w:fldChar w:fldCharType="begin"/>
      </w:r>
      <w:r>
        <w:instrText xml:space="preserve"> REF _Ref4491468 \r \h </w:instrText>
      </w:r>
      <w:r>
        <w:fldChar w:fldCharType="separate"/>
      </w:r>
      <w:r>
        <w:t>[3]</w:t>
      </w:r>
      <w:r>
        <w:fldChar w:fldCharType="end"/>
      </w:r>
      <w:r>
        <w:t xml:space="preserve"> providing the new requirements for Rel-16 addressing </w:t>
      </w:r>
      <w:r>
        <w:rPr>
          <w:rFonts w:eastAsia="宋体"/>
        </w:rPr>
        <w:t>cyber-physical control applications in vertical domains</w:t>
      </w:r>
      <w:r>
        <w:t xml:space="preserve"> lists </w:t>
      </w:r>
      <w:r>
        <w:rPr>
          <w:i/>
        </w:rPr>
        <w:t>Communication Service Availability</w:t>
      </w:r>
      <w:r>
        <w:t xml:space="preserve"> requirements ranging from 99,99 % to 99,9999999 % (Tables 5.2/3/4/5-1). The requirements depend on the service, the application and the </w:t>
      </w:r>
      <w:r>
        <w:rPr>
          <w:rFonts w:eastAsia="MS Mincho"/>
          <w:lang w:eastAsia="ja-JP"/>
        </w:rPr>
        <w:t>traffic class (deterministic periodic, deterministic aperiodic, non-deterministic communication)</w:t>
      </w:r>
      <w:r>
        <w:t xml:space="preserve">. It also provides a Table (5.1-1) converting such </w:t>
      </w:r>
      <w:r>
        <w:rPr>
          <w:i/>
        </w:rPr>
        <w:t>availability</w:t>
      </w:r>
      <w:r>
        <w:t xml:space="preserve"> requirements into </w:t>
      </w:r>
      <w:r>
        <w:rPr>
          <w:i/>
        </w:rPr>
        <w:t>reliability</w:t>
      </w:r>
      <w:r>
        <w:t xml:space="preserve"> requirements. Above Tables show that, even within a vertical domain, a UE may expect to serve a wide range of such traffic types, hence a wide range of reliability requirements.</w:t>
      </w:r>
    </w:p>
    <w:p>
      <w:pPr>
        <w:jc w:val="both"/>
      </w:pPr>
    </w:p>
    <w:p>
      <w:pPr>
        <w:jc w:val="both"/>
        <w:rPr>
          <w:b/>
        </w:rPr>
      </w:pPr>
      <w:r>
        <w:rPr>
          <w:b/>
        </w:rPr>
        <w:t>Observation 1: TS 22.104 provides a large range of reliability requirements addressing different services possibly served concurrently.</w:t>
      </w:r>
    </w:p>
    <w:p>
      <w:pPr>
        <w:jc w:val="both"/>
      </w:pPr>
    </w:p>
    <w:p>
      <w:pPr>
        <w:jc w:val="both"/>
      </w:pPr>
      <w:r>
        <w:t>Given high reliability means low coding rate and QAM order, hence low spectral efficiency, it is important to address each traffic reliability specifically rather than scheduling all traffic types with the MCS targeting the most critical one. It results that Rel-16 NR should be able to address the range of traffic reliabilities with a fine granularity.</w:t>
      </w:r>
    </w:p>
    <w:p>
      <w:pPr>
        <w:jc w:val="both"/>
      </w:pPr>
    </w:p>
    <w:p>
      <w:pPr>
        <w:jc w:val="both"/>
        <w:rPr>
          <w:b/>
        </w:rPr>
      </w:pPr>
      <w:r>
        <w:rPr>
          <w:b/>
        </w:rPr>
        <w:t>Observation 2: Rel-16 NR should be able to address the range of traffic reliabilities from TS 22.104 with a fine granularity.</w:t>
      </w:r>
    </w:p>
    <w:p>
      <w:pPr>
        <w:spacing w:before="120"/>
        <w:jc w:val="both"/>
        <w:rPr>
          <w:color w:val="000000"/>
          <w:lang w:eastAsia="zh-CN"/>
        </w:rPr>
      </w:pPr>
      <w:r>
        <w:t>Clearly,</w:t>
      </w:r>
      <w:r>
        <w:rPr>
          <w:lang w:val="en-GB"/>
        </w:rPr>
        <w:t xml:space="preserve"> the gNB scheduler can make use of the MCS selection for specifically addressing a given URLLC traffic. To this end, RAN1 introduced by the end of Rel-15 one new low-MCS Table for PUSCH, </w:t>
      </w:r>
      <w:r>
        <w:rPr>
          <w:i/>
          <w:color w:val="000000"/>
          <w:lang w:eastAsia="zh-CN"/>
        </w:rPr>
        <w:t>qam64LowSE</w:t>
      </w:r>
      <w:r>
        <w:rPr>
          <w:color w:val="000000"/>
          <w:lang w:eastAsia="zh-CN"/>
        </w:rPr>
        <w:t xml:space="preserve">, that a UE can be RRC configured or dynamically signaled (in PDCCP via a new MCS-C-RNTI) to use, instead of the legacy 256-QAM MCS Table </w:t>
      </w:r>
      <w:r>
        <w:rPr>
          <w:color w:val="000000"/>
          <w:lang w:eastAsia="zh-CN"/>
        </w:rPr>
        <w:fldChar w:fldCharType="begin"/>
      </w:r>
      <w:r>
        <w:rPr>
          <w:color w:val="000000"/>
          <w:lang w:eastAsia="zh-CN"/>
        </w:rPr>
        <w:instrText xml:space="preserve"> REF _Ref4169474 \r \h </w:instrText>
      </w:r>
      <w:r>
        <w:rPr>
          <w:color w:val="000000"/>
          <w:lang w:eastAsia="zh-CN"/>
        </w:rPr>
        <w:fldChar w:fldCharType="separate"/>
      </w:r>
      <w:r>
        <w:rPr>
          <w:color w:val="000000"/>
          <w:lang w:eastAsia="zh-CN"/>
        </w:rPr>
        <w:t>[2]</w:t>
      </w:r>
      <w:r>
        <w:rPr>
          <w:color w:val="000000"/>
          <w:lang w:eastAsia="zh-CN"/>
        </w:rPr>
        <w:fldChar w:fldCharType="end"/>
      </w:r>
      <w:r>
        <w:rPr>
          <w:color w:val="000000"/>
          <w:lang w:eastAsia="zh-CN"/>
        </w:rPr>
        <w:t>. At that time RAN2 also had some preliminary discussions on whether to account for such new RAN1 design in MAC, but couldn’t reach any conclusion due to the late coming of the feature.</w:t>
      </w:r>
    </w:p>
    <w:p>
      <w:pPr>
        <w:spacing w:before="120"/>
        <w:jc w:val="both"/>
      </w:pPr>
      <w:r>
        <w:rPr>
          <w:color w:val="000000"/>
          <w:lang w:eastAsia="zh-CN"/>
        </w:rPr>
        <w:t xml:space="preserve">However, only MAC decides which LCH goes into which UL grant. Hence, the enhanced MCS scheme inherited from Rel-15 loses a lot of benefit if it is no possible to select accordingly the LCH(s) targeted by an UL grant/MCS. On the other hand, </w:t>
      </w:r>
      <w:r>
        <w:t xml:space="preserve">LCP channel mapping restriction parameters have been introduced in Rel-15 </w:t>
      </w:r>
      <w:r>
        <w:fldChar w:fldCharType="begin"/>
      </w:r>
      <w:r>
        <w:instrText xml:space="preserve"> REF _Ref4172678 \r \h </w:instrText>
      </w:r>
      <w:r>
        <w:fldChar w:fldCharType="separate"/>
      </w:r>
      <w:r>
        <w:t>[1]</w:t>
      </w:r>
      <w:r>
        <w:fldChar w:fldCharType="end"/>
      </w:r>
      <w:r>
        <w:t xml:space="preserve"> to allow mapping some specific LCHs conveying URLLC traffic to UL grants with specific physical characteristics or usage and also preventing other LCHs from using them, for example:</w:t>
      </w:r>
    </w:p>
    <w:p>
      <w:pPr>
        <w:pStyle w:val="53"/>
        <w:numPr>
          <w:ilvl w:val="0"/>
          <w:numId w:val="7"/>
        </w:numPr>
        <w:spacing w:before="120" w:after="0"/>
        <w:jc w:val="both"/>
        <w:rPr>
          <w:lang w:eastAsia="ko-KR"/>
        </w:rPr>
      </w:pPr>
      <w:r>
        <w:rPr>
          <w:i/>
          <w:lang w:eastAsia="ko-KR"/>
        </w:rPr>
        <w:t>allowedSCS-List</w:t>
      </w:r>
      <w:r>
        <w:rPr>
          <w:lang w:eastAsia="ko-KR"/>
        </w:rPr>
        <w:t>: the set of allowed Subcarrier Spacing index values</w:t>
      </w:r>
    </w:p>
    <w:p>
      <w:pPr>
        <w:pStyle w:val="53"/>
        <w:numPr>
          <w:ilvl w:val="0"/>
          <w:numId w:val="7"/>
        </w:numPr>
        <w:spacing w:before="120" w:after="0"/>
        <w:jc w:val="both"/>
        <w:rPr>
          <w:lang w:eastAsia="ko-KR"/>
        </w:rPr>
      </w:pPr>
      <w:r>
        <w:rPr>
          <w:i/>
          <w:lang w:eastAsia="ko-KR"/>
        </w:rPr>
        <w:t>maxPUSCH-Duration</w:t>
      </w:r>
      <w:r>
        <w:rPr>
          <w:lang w:eastAsia="ko-KR"/>
        </w:rPr>
        <w:t>: the largest allowed PUSCH transmission duration</w:t>
      </w:r>
    </w:p>
    <w:p>
      <w:pPr>
        <w:pStyle w:val="53"/>
        <w:numPr>
          <w:ilvl w:val="0"/>
          <w:numId w:val="7"/>
        </w:numPr>
        <w:spacing w:before="120" w:after="0"/>
        <w:jc w:val="both"/>
        <w:rPr>
          <w:lang w:eastAsia="ko-KR"/>
        </w:rPr>
      </w:pPr>
      <w:r>
        <w:rPr>
          <w:i/>
          <w:lang w:eastAsia="ko-KR"/>
        </w:rPr>
        <w:t>configuredGrantType1Allowed</w:t>
      </w:r>
      <w:r>
        <w:rPr>
          <w:lang w:eastAsia="ko-KR"/>
        </w:rPr>
        <w:t>: is set to TRUE if the LCH is allowed to use a Configured Grant Type 1</w:t>
      </w:r>
    </w:p>
    <w:p>
      <w:pPr>
        <w:spacing w:before="120"/>
        <w:jc w:val="both"/>
        <w:rPr>
          <w:lang w:eastAsia="ko-KR"/>
        </w:rPr>
      </w:pPr>
      <w:r>
        <w:rPr>
          <w:lang w:eastAsia="ko-KR"/>
        </w:rPr>
        <w:t>We analyze below if such parameters can address the reliability requirements discussed above.</w:t>
      </w:r>
    </w:p>
    <w:p>
      <w:pPr>
        <w:spacing w:before="120"/>
        <w:jc w:val="both"/>
        <w:rPr>
          <w:u w:val="single"/>
          <w:lang w:val="en-GB"/>
        </w:rPr>
      </w:pPr>
      <w:r>
        <w:rPr>
          <w:i/>
          <w:u w:val="single"/>
          <w:lang w:eastAsia="ko-KR"/>
        </w:rPr>
        <w:t>allowedSCS-List</w:t>
      </w:r>
      <w:r>
        <w:rPr>
          <w:u w:val="single"/>
          <w:lang w:eastAsia="ko-KR"/>
        </w:rPr>
        <w:t>:</w:t>
      </w:r>
    </w:p>
    <w:p>
      <w:pPr>
        <w:spacing w:before="120"/>
        <w:jc w:val="both"/>
        <w:rPr>
          <w:lang w:val="en-GB"/>
        </w:rPr>
      </w:pPr>
      <w:r>
        <w:rPr>
          <w:lang w:val="en-GB"/>
        </w:rPr>
        <w:t>This parameter allows associating specific numerologies to traffic types, for example URLLC and eMBB to high and low sub-carrier spacing (SCS) respectively. A first observation is that there are 5 numerologies thus providing a hard limit on the number of traffic types this parameter can differentiate. Further considering that some numerologies are associated with some frequency ranges (FR1, FR2) it results that, for a given frequency band, it practically limits to 2-3 the number of differentiated traffic types. Moreover, one BWP supports one numerology, and there is only one active BWP per Serving Cell. Hence, serving efficiently and concurrently multiple eMBB/URLLC traffic types requires supporting as many Serving Cells as traffic types in CA configuration. This looks overkill and cost-inefficient for an IIoT device (not necessarily requiring high throughput).</w:t>
      </w:r>
    </w:p>
    <w:p>
      <w:pPr>
        <w:spacing w:before="120"/>
        <w:rPr>
          <w:b/>
          <w:lang w:eastAsia="ko-KR"/>
        </w:rPr>
      </w:pPr>
      <w:r>
        <w:rPr>
          <w:b/>
          <w:lang w:val="en-GB"/>
        </w:rPr>
        <w:t xml:space="preserve">Observation 3: </w:t>
      </w:r>
      <w:r>
        <w:rPr>
          <w:b/>
        </w:rPr>
        <w:t xml:space="preserve">The LCP parameter </w:t>
      </w:r>
      <w:r>
        <w:rPr>
          <w:b/>
          <w:i/>
          <w:lang w:eastAsia="ko-KR"/>
        </w:rPr>
        <w:t>allowedSCS-List</w:t>
      </w:r>
      <w:r>
        <w:rPr>
          <w:b/>
          <w:lang w:eastAsia="ko-KR"/>
        </w:rPr>
        <w:t xml:space="preserve"> is not well suited to discriminate multiple traffic types with different reliability requirements.</w:t>
      </w:r>
    </w:p>
    <w:p>
      <w:pPr>
        <w:spacing w:before="120"/>
        <w:jc w:val="both"/>
        <w:rPr>
          <w:u w:val="single"/>
          <w:lang w:val="en-GB"/>
        </w:rPr>
      </w:pPr>
      <w:r>
        <w:rPr>
          <w:i/>
          <w:u w:val="single"/>
          <w:lang w:eastAsia="ko-KR"/>
        </w:rPr>
        <w:t>maxPUSCH-Duration</w:t>
      </w:r>
      <w:r>
        <w:rPr>
          <w:u w:val="single"/>
          <w:lang w:eastAsia="ko-KR"/>
        </w:rPr>
        <w:t>:</w:t>
      </w:r>
    </w:p>
    <w:p>
      <w:pPr>
        <w:spacing w:before="120" w:after="120"/>
        <w:jc w:val="both"/>
      </w:pPr>
      <w:r>
        <w:rPr>
          <w:lang w:val="en-GB"/>
        </w:rPr>
        <w:t xml:space="preserve">This parameter can take 6 values ranging from 0.02 to 0.5ms, thus targeting the whole range of a PUSCH allocation in 30 kHz SCS (if not aggregated across slots). It can therefore discriminate URLLC traffic types with end-to-end latency requirements of 0.5ms and smaller. However, in the requirement Table </w:t>
      </w:r>
      <w:r>
        <w:t>5.2-1</w:t>
      </w:r>
      <w:r>
        <w:rPr>
          <w:lang w:val="en-GB"/>
        </w:rPr>
        <w:t xml:space="preserve"> </w:t>
      </w:r>
      <w:r>
        <w:rPr>
          <w:lang w:val="en-GB"/>
        </w:rPr>
        <w:fldChar w:fldCharType="begin"/>
      </w:r>
      <w:r>
        <w:rPr>
          <w:lang w:val="en-GB"/>
        </w:rPr>
        <w:instrText xml:space="preserve"> REF _Ref4491468 \r \h </w:instrText>
      </w:r>
      <w:r>
        <w:rPr>
          <w:lang w:val="en-GB"/>
        </w:rPr>
        <w:fldChar w:fldCharType="separate"/>
      </w:r>
      <w:r>
        <w:rPr>
          <w:lang w:val="en-GB"/>
        </w:rPr>
        <w:t>[3]</w:t>
      </w:r>
      <w:r>
        <w:rPr>
          <w:lang w:val="en-GB"/>
        </w:rPr>
        <w:fldChar w:fldCharType="end"/>
      </w:r>
      <w:r>
        <w:rPr>
          <w:lang w:val="en-GB"/>
        </w:rPr>
        <w:t xml:space="preserve">, only one </w:t>
      </w:r>
      <w:r>
        <w:t>communication service comes with such requirement. Other URLLC services have less stringent latency requirements, although as high reliability requirements. One such example is the service addressing control-to-control communication in motion control (A.2.2.2), copied below:</w:t>
      </w:r>
    </w:p>
    <w:tbl>
      <w:tblPr>
        <w:tblStyle w:val="2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1253"/>
        <w:gridCol w:w="1057"/>
        <w:gridCol w:w="1336"/>
        <w:gridCol w:w="1000"/>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trPr>
        <w:tc>
          <w:tcPr>
            <w:tcW w:w="1446" w:type="dxa"/>
            <w:shd w:val="clear" w:color="auto" w:fill="auto"/>
          </w:tcPr>
          <w:p>
            <w:pPr>
              <w:pStyle w:val="71"/>
              <w:rPr>
                <w:sz w:val="16"/>
              </w:rPr>
            </w:pPr>
            <w:r>
              <w:rPr>
                <w:sz w:val="16"/>
              </w:rPr>
              <w:t>Communi</w:t>
            </w:r>
            <w:r>
              <w:rPr>
                <w:sz w:val="16"/>
              </w:rPr>
              <w:softHyphen/>
            </w:r>
            <w:r>
              <w:rPr>
                <w:sz w:val="16"/>
              </w:rPr>
              <w:t>ca</w:t>
            </w:r>
            <w:r>
              <w:rPr>
                <w:sz w:val="16"/>
              </w:rPr>
              <w:softHyphen/>
            </w:r>
            <w:r>
              <w:rPr>
                <w:sz w:val="16"/>
              </w:rPr>
              <w:t>tion service availability: target value (note 1)</w:t>
            </w:r>
          </w:p>
        </w:tc>
        <w:tc>
          <w:tcPr>
            <w:tcW w:w="1253" w:type="dxa"/>
            <w:shd w:val="clear" w:color="auto" w:fill="auto"/>
          </w:tcPr>
          <w:p>
            <w:pPr>
              <w:pStyle w:val="71"/>
              <w:rPr>
                <w:sz w:val="16"/>
              </w:rPr>
            </w:pPr>
            <w:r>
              <w:rPr>
                <w:sz w:val="16"/>
              </w:rPr>
              <w:t>End-to-end latency: maximum (note 2)</w:t>
            </w:r>
          </w:p>
        </w:tc>
        <w:tc>
          <w:tcPr>
            <w:tcW w:w="1057" w:type="dxa"/>
            <w:shd w:val="clear" w:color="auto" w:fill="auto"/>
          </w:tcPr>
          <w:p>
            <w:pPr>
              <w:pStyle w:val="71"/>
              <w:rPr>
                <w:sz w:val="16"/>
              </w:rPr>
            </w:pPr>
            <w:r>
              <w:rPr>
                <w:sz w:val="16"/>
              </w:rPr>
              <w:t>Message size [byte]</w:t>
            </w:r>
          </w:p>
        </w:tc>
        <w:tc>
          <w:tcPr>
            <w:tcW w:w="1336" w:type="dxa"/>
          </w:tcPr>
          <w:p>
            <w:pPr>
              <w:pStyle w:val="71"/>
              <w:rPr>
                <w:sz w:val="16"/>
              </w:rPr>
            </w:pPr>
            <w:r>
              <w:rPr>
                <w:sz w:val="16"/>
              </w:rPr>
              <w:t>Transfer interval: target value</w:t>
            </w:r>
          </w:p>
        </w:tc>
        <w:tc>
          <w:tcPr>
            <w:tcW w:w="1000" w:type="dxa"/>
          </w:tcPr>
          <w:p>
            <w:pPr>
              <w:pStyle w:val="71"/>
              <w:rPr>
                <w:sz w:val="16"/>
              </w:rPr>
            </w:pPr>
            <w:r>
              <w:rPr>
                <w:sz w:val="16"/>
              </w:rPr>
              <w:t>Survival time</w:t>
            </w:r>
          </w:p>
        </w:tc>
        <w:tc>
          <w:tcPr>
            <w:tcW w:w="2430" w:type="dxa"/>
          </w:tcPr>
          <w:p>
            <w:pPr>
              <w:pStyle w:val="71"/>
              <w:rPr>
                <w:sz w:val="16"/>
              </w:rPr>
            </w:pPr>
            <w:r>
              <w:rPr>
                <w:sz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1446" w:type="dxa"/>
            <w:shd w:val="clear" w:color="auto" w:fill="auto"/>
          </w:tcPr>
          <w:p>
            <w:pPr>
              <w:pStyle w:val="84"/>
              <w:rPr>
                <w:sz w:val="16"/>
              </w:rPr>
            </w:pPr>
            <w:r>
              <w:rPr>
                <w:sz w:val="16"/>
              </w:rPr>
              <w:t>99,9999 % to 99,999999 %</w:t>
            </w:r>
          </w:p>
        </w:tc>
        <w:tc>
          <w:tcPr>
            <w:tcW w:w="1253" w:type="dxa"/>
            <w:shd w:val="clear" w:color="auto" w:fill="auto"/>
          </w:tcPr>
          <w:p>
            <w:pPr>
              <w:pStyle w:val="84"/>
              <w:rPr>
                <w:sz w:val="16"/>
                <w:lang w:eastAsia="en-US"/>
              </w:rPr>
            </w:pPr>
            <w:r>
              <w:rPr>
                <w:sz w:val="16"/>
                <w:lang w:eastAsia="en-US"/>
              </w:rPr>
              <w:t>&lt; transfer interval value</w:t>
            </w:r>
          </w:p>
        </w:tc>
        <w:tc>
          <w:tcPr>
            <w:tcW w:w="1057" w:type="dxa"/>
            <w:shd w:val="clear" w:color="auto" w:fill="auto"/>
          </w:tcPr>
          <w:p>
            <w:pPr>
              <w:pStyle w:val="84"/>
              <w:rPr>
                <w:color w:val="000000"/>
                <w:sz w:val="16"/>
                <w:lang w:eastAsia="en-US"/>
              </w:rPr>
            </w:pPr>
            <w:r>
              <w:rPr>
                <w:sz w:val="16"/>
              </w:rPr>
              <w:t>1 k</w:t>
            </w:r>
          </w:p>
        </w:tc>
        <w:tc>
          <w:tcPr>
            <w:tcW w:w="1336" w:type="dxa"/>
          </w:tcPr>
          <w:p>
            <w:pPr>
              <w:pStyle w:val="84"/>
              <w:rPr>
                <w:sz w:val="16"/>
              </w:rPr>
            </w:pPr>
            <w:r>
              <w:rPr>
                <w:sz w:val="16"/>
              </w:rPr>
              <w:t>≤ 10 ms</w:t>
            </w:r>
          </w:p>
        </w:tc>
        <w:tc>
          <w:tcPr>
            <w:tcW w:w="1000" w:type="dxa"/>
          </w:tcPr>
          <w:p>
            <w:pPr>
              <w:pStyle w:val="84"/>
              <w:rPr>
                <w:sz w:val="16"/>
              </w:rPr>
            </w:pPr>
            <w:r>
              <w:rPr>
                <w:sz w:val="16"/>
              </w:rPr>
              <w:t>10 ms</w:t>
            </w:r>
          </w:p>
        </w:tc>
        <w:tc>
          <w:tcPr>
            <w:tcW w:w="2430" w:type="dxa"/>
          </w:tcPr>
          <w:p>
            <w:pPr>
              <w:pStyle w:val="84"/>
              <w:rPr>
                <w:sz w:val="16"/>
              </w:rPr>
            </w:pPr>
            <w:r>
              <w:rPr>
                <w:sz w:val="16"/>
              </w:rPr>
              <w:t>Control-to-control in motion control (A.2.2.2)</w:t>
            </w:r>
          </w:p>
        </w:tc>
      </w:tr>
    </w:tbl>
    <w:p>
      <w:pPr>
        <w:spacing w:before="120"/>
        <w:jc w:val="both"/>
      </w:pPr>
      <w:r>
        <w:t xml:space="preserve">This service has the highest reliability requirement (considering the lower range) but both relaxed latency requirement and large (1Kbyte) message size. To give a rough idea, using as low (but not lowest) MCS as </w:t>
      </w:r>
      <w:r>
        <w:rPr>
          <w:i/>
        </w:rPr>
        <w:t>I</w:t>
      </w:r>
      <w:r>
        <w:rPr>
          <w:i/>
          <w:vertAlign w:val="subscript"/>
        </w:rPr>
        <w:t>MCS</w:t>
      </w:r>
      <w:r>
        <w:t xml:space="preserve"> = 5 (QPSK, code rate 0.37) in regular MCS Table (Table 5.1.3.1-2 of </w:t>
      </w:r>
      <w:r>
        <w:fldChar w:fldCharType="begin"/>
      </w:r>
      <w:r>
        <w:instrText xml:space="preserve"> REF _Ref4169474 \r \h </w:instrText>
      </w:r>
      <w:r>
        <w:fldChar w:fldCharType="separate"/>
      </w:r>
      <w:r>
        <w:t>[2]</w:t>
      </w:r>
      <w:r>
        <w:fldChar w:fldCharType="end"/>
      </w:r>
      <w:r>
        <w:t xml:space="preserve">), yields a spectral efficiency of 1.4766 so that with 8-PRB allocation, it takes ~4-5 full 0.5ms slots to convey the message. It is obvious that in such case, there is no point is transmitting such message in many chunks of very short PUSCH allocations, which is not robust. Instead, it should be segmented into 4 or 5 full-slot allocations. And in such example, it is clear that the </w:t>
      </w:r>
      <w:r>
        <w:rPr>
          <w:i/>
          <w:lang w:eastAsia="ko-KR"/>
        </w:rPr>
        <w:t>maxPUSCH-Duration</w:t>
      </w:r>
      <w:r>
        <w:t xml:space="preserve"> is unable to discriminate this traffic type from an eMBB traffic.</w:t>
      </w:r>
    </w:p>
    <w:p>
      <w:pPr>
        <w:spacing w:before="120"/>
        <w:jc w:val="both"/>
        <w:rPr>
          <w:b/>
          <w:lang w:eastAsia="ko-KR"/>
        </w:rPr>
      </w:pPr>
      <w:r>
        <w:rPr>
          <w:b/>
          <w:lang w:val="en-GB"/>
        </w:rPr>
        <w:t xml:space="preserve">Observation 4: </w:t>
      </w:r>
      <w:r>
        <w:rPr>
          <w:b/>
        </w:rPr>
        <w:t xml:space="preserve">The LCP parameter </w:t>
      </w:r>
      <w:r>
        <w:rPr>
          <w:b/>
          <w:i/>
          <w:lang w:eastAsia="ko-KR"/>
        </w:rPr>
        <w:t>maxPUSCH-Duration</w:t>
      </w:r>
      <w:r>
        <w:rPr>
          <w:b/>
          <w:lang w:eastAsia="ko-KR"/>
        </w:rPr>
        <w:t xml:space="preserve"> is not sufficient to differentiate an URLLC traffic with large PUSCH allocations but stringent reliability requirement from an eMBB traffic.</w:t>
      </w:r>
    </w:p>
    <w:p>
      <w:pPr>
        <w:spacing w:before="120"/>
        <w:jc w:val="both"/>
        <w:rPr>
          <w:u w:val="single"/>
          <w:lang w:val="en-GB"/>
        </w:rPr>
      </w:pPr>
      <w:r>
        <w:rPr>
          <w:i/>
          <w:u w:val="single"/>
          <w:lang w:eastAsia="ko-KR"/>
        </w:rPr>
        <w:t>configuredGrantType1Allowed</w:t>
      </w:r>
      <w:r>
        <w:rPr>
          <w:u w:val="single"/>
          <w:lang w:eastAsia="ko-KR"/>
        </w:rPr>
        <w:t>:</w:t>
      </w:r>
    </w:p>
    <w:p>
      <w:pPr>
        <w:spacing w:before="120"/>
        <w:jc w:val="both"/>
        <w:rPr>
          <w:lang w:val="en-GB"/>
        </w:rPr>
      </w:pPr>
      <w:r>
        <w:rPr>
          <w:lang w:val="en-GB"/>
        </w:rPr>
        <w:t xml:space="preserve">This parameter is used to dedicate the use of the configured grant (CG) type 1 to one or more URLLC LCHs, by preventing other (e.g. eMBB) LCHs from using it. It is yet unclear how this parameter will evolve (while remaining backward compatible) to support multiple CG type 1 configurations since such topic is now in the RAN1 WID [], so will be first discussed in RAN1. Furthermore, not all URLLC traffics are expected to be served by configured grants, when considering e.g. </w:t>
      </w:r>
      <w:r>
        <w:rPr>
          <w:rFonts w:eastAsia="MS Mincho"/>
          <w:lang w:eastAsia="ja-JP"/>
        </w:rPr>
        <w:t xml:space="preserve">deterministic aperiodic communications </w:t>
      </w:r>
      <w:r>
        <w:rPr>
          <w:lang w:val="en-GB"/>
        </w:rPr>
        <w:fldChar w:fldCharType="begin"/>
      </w:r>
      <w:r>
        <w:rPr>
          <w:lang w:val="en-GB"/>
        </w:rPr>
        <w:instrText xml:space="preserve"> REF _Ref4491468 \r \h  \* MERGEFORMAT </w:instrText>
      </w:r>
      <w:r>
        <w:rPr>
          <w:lang w:val="en-GB"/>
        </w:rPr>
        <w:fldChar w:fldCharType="separate"/>
      </w:r>
      <w:r>
        <w:rPr>
          <w:lang w:val="en-GB"/>
        </w:rPr>
        <w:t>[3]</w:t>
      </w:r>
      <w:r>
        <w:rPr>
          <w:lang w:val="en-GB"/>
        </w:rPr>
        <w:fldChar w:fldCharType="end"/>
      </w:r>
      <w:r>
        <w:rPr>
          <w:lang w:val="en-GB"/>
        </w:rPr>
        <w:t xml:space="preserve">. Therefore it is also unclear how such parameter can appropriately address the reliability requirements of the various services/applications listed in </w:t>
      </w:r>
      <w:r>
        <w:rPr>
          <w:lang w:val="en-GB"/>
        </w:rPr>
        <w:fldChar w:fldCharType="begin"/>
      </w:r>
      <w:r>
        <w:rPr>
          <w:lang w:val="en-GB"/>
        </w:rPr>
        <w:instrText xml:space="preserve"> REF _Ref4491468 \r \h  \* MERGEFORMAT </w:instrText>
      </w:r>
      <w:r>
        <w:rPr>
          <w:lang w:val="en-GB"/>
        </w:rPr>
        <w:fldChar w:fldCharType="separate"/>
      </w:r>
      <w:r>
        <w:rPr>
          <w:lang w:val="en-GB"/>
        </w:rPr>
        <w:t>[3]</w:t>
      </w:r>
      <w:r>
        <w:rPr>
          <w:lang w:val="en-GB"/>
        </w:rPr>
        <w:fldChar w:fldCharType="end"/>
      </w:r>
      <w:r>
        <w:rPr>
          <w:lang w:val="en-GB"/>
        </w:rPr>
        <w:t xml:space="preserve">.  </w:t>
      </w:r>
    </w:p>
    <w:p>
      <w:pPr>
        <w:spacing w:before="120"/>
        <w:jc w:val="both"/>
        <w:rPr>
          <w:b/>
          <w:lang w:eastAsia="ko-KR"/>
        </w:rPr>
      </w:pPr>
      <w:r>
        <w:rPr>
          <w:b/>
          <w:lang w:val="en-GB"/>
        </w:rPr>
        <w:t xml:space="preserve">Observation 5: </w:t>
      </w:r>
      <w:r>
        <w:rPr>
          <w:b/>
        </w:rPr>
        <w:t xml:space="preserve">The LCP parameter </w:t>
      </w:r>
      <w:r>
        <w:rPr>
          <w:b/>
          <w:i/>
          <w:lang w:eastAsia="ko-KR"/>
        </w:rPr>
        <w:t>configuredGrantType1Allowed</w:t>
      </w:r>
      <w:r>
        <w:rPr>
          <w:b/>
          <w:lang w:eastAsia="ko-KR"/>
        </w:rPr>
        <w:t xml:space="preserve"> is not sufficient to address the reliability requirements of the various services/applications from TS 22.104.</w:t>
      </w:r>
    </w:p>
    <w:p>
      <w:pPr>
        <w:spacing w:before="120"/>
        <w:rPr>
          <w:b/>
          <w:lang w:val="en-GB"/>
        </w:rPr>
      </w:pPr>
      <w:r>
        <w:rPr>
          <w:lang w:val="en-GB"/>
        </w:rPr>
        <w:t>From the above observations, we conclude that the LCP channel mapping restrictions should include a new parameter properly addressing the reliability constraint of URLLC traffic.</w:t>
      </w:r>
    </w:p>
    <w:p>
      <w:pPr>
        <w:spacing w:before="120"/>
        <w:jc w:val="both"/>
        <w:rPr>
          <w:b/>
          <w:u w:val="single"/>
        </w:rPr>
      </w:pPr>
      <w:r>
        <w:rPr>
          <w:b/>
          <w:lang w:val="en-GB"/>
        </w:rPr>
        <w:t xml:space="preserve">Proposal: </w:t>
      </w:r>
      <w:r>
        <w:rPr>
          <w:b/>
        </w:rPr>
        <w:t>The LCP channel mapping restrictions should include a new parameter properly addressing the reliability constraint of URLLC traffic.</w:t>
      </w:r>
    </w:p>
    <w:p>
      <w:pPr>
        <w:pStyle w:val="2"/>
        <w:jc w:val="both"/>
      </w:pPr>
      <w:r>
        <w:t>Conclusion</w:t>
      </w:r>
    </w:p>
    <w:p>
      <w:pPr>
        <w:pStyle w:val="3"/>
        <w:rPr>
          <w:rFonts w:eastAsiaTheme="minorEastAsia"/>
          <w:lang w:eastAsia="zh-CN"/>
        </w:rPr>
      </w:pPr>
      <w:r>
        <w:rPr>
          <w:rFonts w:hint="eastAsia" w:eastAsiaTheme="minorEastAsia"/>
          <w:lang w:eastAsia="zh-CN"/>
        </w:rPr>
        <w:t xml:space="preserve">This contribution </w:t>
      </w:r>
      <w:r>
        <w:rPr>
          <w:rFonts w:eastAsiaTheme="minorEastAsia"/>
          <w:lang w:eastAsia="zh-CN"/>
        </w:rPr>
        <w:t xml:space="preserve">discussed the issue of handling URLLC services with different reliability requirements, as specified in TS 22.104 </w:t>
      </w:r>
      <w:r>
        <w:rPr>
          <w:lang w:val="en-GB"/>
        </w:rPr>
        <w:fldChar w:fldCharType="begin"/>
      </w:r>
      <w:r>
        <w:rPr>
          <w:lang w:val="en-GB"/>
        </w:rPr>
        <w:instrText xml:space="preserve"> REF _Ref4491468 \r \h  \* MERGEFORMAT </w:instrText>
      </w:r>
      <w:r>
        <w:rPr>
          <w:lang w:val="en-GB"/>
        </w:rPr>
        <w:fldChar w:fldCharType="separate"/>
      </w:r>
      <w:r>
        <w:rPr>
          <w:lang w:val="en-GB"/>
        </w:rPr>
        <w:t>[3]</w:t>
      </w:r>
      <w:r>
        <w:rPr>
          <w:lang w:val="en-GB"/>
        </w:rPr>
        <w:fldChar w:fldCharType="end"/>
      </w:r>
      <w:r>
        <w:rPr>
          <w:rFonts w:eastAsiaTheme="minorEastAsia"/>
          <w:lang w:eastAsia="zh-CN"/>
        </w:rPr>
        <w:t>. The resulting observations and proposals are as follows:</w:t>
      </w:r>
    </w:p>
    <w:p>
      <w:pPr>
        <w:jc w:val="both"/>
        <w:rPr>
          <w:b/>
        </w:rPr>
      </w:pPr>
      <w:r>
        <w:rPr>
          <w:b/>
        </w:rPr>
        <w:t>Observation 1: TS 22.104 provides a large range of reliability requirements addressing different services possibly served concurrently.</w:t>
      </w:r>
    </w:p>
    <w:p>
      <w:pPr>
        <w:spacing w:before="240"/>
        <w:jc w:val="both"/>
        <w:rPr>
          <w:b/>
        </w:rPr>
      </w:pPr>
      <w:r>
        <w:rPr>
          <w:b/>
        </w:rPr>
        <w:t>Observation 2: Rel-16 NR should be able to address the range of traffic reliabilities from TS 22.104 with a fine granularity</w:t>
      </w:r>
    </w:p>
    <w:p>
      <w:pPr>
        <w:spacing w:before="120"/>
        <w:rPr>
          <w:b/>
          <w:lang w:eastAsia="ko-KR"/>
        </w:rPr>
      </w:pPr>
      <w:r>
        <w:rPr>
          <w:b/>
          <w:lang w:val="en-GB"/>
        </w:rPr>
        <w:t xml:space="preserve">Observation 3: </w:t>
      </w:r>
      <w:r>
        <w:rPr>
          <w:b/>
        </w:rPr>
        <w:t xml:space="preserve">The LCP parameter </w:t>
      </w:r>
      <w:r>
        <w:rPr>
          <w:b/>
          <w:i/>
          <w:lang w:eastAsia="ko-KR"/>
        </w:rPr>
        <w:t>allowedSCS-List</w:t>
      </w:r>
      <w:r>
        <w:rPr>
          <w:b/>
          <w:lang w:eastAsia="ko-KR"/>
        </w:rPr>
        <w:t xml:space="preserve"> is not well suited to discriminate multiple traffic types with different reliability requirements.</w:t>
      </w:r>
    </w:p>
    <w:p>
      <w:pPr>
        <w:spacing w:before="120"/>
        <w:jc w:val="both"/>
        <w:rPr>
          <w:b/>
          <w:lang w:eastAsia="ko-KR"/>
        </w:rPr>
      </w:pPr>
      <w:r>
        <w:rPr>
          <w:b/>
          <w:lang w:val="en-GB"/>
        </w:rPr>
        <w:t xml:space="preserve">Observation 4: </w:t>
      </w:r>
      <w:r>
        <w:rPr>
          <w:b/>
        </w:rPr>
        <w:t xml:space="preserve">The LCP parameter </w:t>
      </w:r>
      <w:r>
        <w:rPr>
          <w:b/>
          <w:i/>
          <w:lang w:eastAsia="ko-KR"/>
        </w:rPr>
        <w:t>maxPUSCH-Duration</w:t>
      </w:r>
      <w:r>
        <w:rPr>
          <w:b/>
          <w:lang w:eastAsia="ko-KR"/>
        </w:rPr>
        <w:t xml:space="preserve"> is not sufficient to differentiate an URLLC traffic with large PUSCH allocations but stringent reliability requirement from an eMBB traffic.</w:t>
      </w:r>
    </w:p>
    <w:p>
      <w:pPr>
        <w:spacing w:before="120"/>
        <w:jc w:val="both"/>
        <w:rPr>
          <w:b/>
          <w:lang w:eastAsia="ko-KR"/>
        </w:rPr>
      </w:pPr>
      <w:r>
        <w:rPr>
          <w:b/>
          <w:lang w:val="en-GB"/>
        </w:rPr>
        <w:t xml:space="preserve">Observation 5: </w:t>
      </w:r>
      <w:r>
        <w:rPr>
          <w:b/>
        </w:rPr>
        <w:t xml:space="preserve">The LCP parameter </w:t>
      </w:r>
      <w:r>
        <w:rPr>
          <w:b/>
          <w:i/>
          <w:lang w:eastAsia="ko-KR"/>
        </w:rPr>
        <w:t>configuredGrantType1Allowed</w:t>
      </w:r>
      <w:r>
        <w:rPr>
          <w:b/>
          <w:lang w:eastAsia="ko-KR"/>
        </w:rPr>
        <w:t xml:space="preserve"> is not sufficient to address the reliability requirements of the various services/applications from TS 22.104.</w:t>
      </w:r>
    </w:p>
    <w:p>
      <w:pPr>
        <w:spacing w:before="120"/>
        <w:jc w:val="both"/>
        <w:rPr>
          <w:b/>
          <w:u w:val="single"/>
        </w:rPr>
      </w:pPr>
      <w:r>
        <w:rPr>
          <w:b/>
          <w:lang w:val="en-GB"/>
        </w:rPr>
        <w:t xml:space="preserve">Proposal: </w:t>
      </w:r>
      <w:r>
        <w:rPr>
          <w:b/>
        </w:rPr>
        <w:t>The LCP channel mapping restrictions should include a new parameter properly addressing the reliability constraint of URLLC traffic.</w:t>
      </w:r>
    </w:p>
    <w:p>
      <w:pPr>
        <w:pStyle w:val="2"/>
        <w:jc w:val="both"/>
      </w:pPr>
      <w:r>
        <w:rPr>
          <w:rFonts w:hint="eastAsia"/>
        </w:rPr>
        <w:t>Reference</w:t>
      </w:r>
    </w:p>
    <w:p>
      <w:pPr>
        <w:pStyle w:val="3"/>
        <w:numPr>
          <w:ilvl w:val="0"/>
          <w:numId w:val="8"/>
        </w:numPr>
        <w:rPr>
          <w:rFonts w:eastAsiaTheme="minorEastAsia"/>
          <w:lang w:eastAsia="zh-CN"/>
        </w:rPr>
      </w:pPr>
      <w:bookmarkStart w:id="6" w:name="_Ref4172678"/>
      <w:r>
        <w:rPr>
          <w:rFonts w:eastAsiaTheme="minorEastAsia"/>
          <w:lang w:eastAsia="zh-CN"/>
        </w:rPr>
        <w:t>TS 38.321 V15.4.0 “NR; Medium Access Control (MAC) protocol specification (Release 15)”; 3GPP</w:t>
      </w:r>
      <w:bookmarkEnd w:id="6"/>
    </w:p>
    <w:p>
      <w:pPr>
        <w:pStyle w:val="3"/>
        <w:numPr>
          <w:ilvl w:val="0"/>
          <w:numId w:val="8"/>
        </w:numPr>
        <w:rPr>
          <w:rFonts w:eastAsiaTheme="minorEastAsia"/>
          <w:lang w:eastAsia="zh-CN"/>
        </w:rPr>
      </w:pPr>
      <w:bookmarkStart w:id="7" w:name="_Ref4169474"/>
      <w:r>
        <w:rPr>
          <w:rFonts w:eastAsiaTheme="minorEastAsia"/>
          <w:lang w:eastAsia="zh-CN"/>
        </w:rPr>
        <w:t>TS 38.214 V15.4.0 “NR; Physical layer procedures for data (Release 15)”; 3GPP</w:t>
      </w:r>
      <w:bookmarkEnd w:id="7"/>
    </w:p>
    <w:p>
      <w:pPr>
        <w:pStyle w:val="3"/>
        <w:numPr>
          <w:ilvl w:val="0"/>
          <w:numId w:val="8"/>
        </w:numPr>
        <w:rPr>
          <w:rFonts w:eastAsiaTheme="minorEastAsia"/>
          <w:lang w:eastAsia="zh-CN"/>
        </w:rPr>
      </w:pPr>
      <w:bookmarkStart w:id="8" w:name="_Ref4491468"/>
      <w:r>
        <w:rPr>
          <w:rFonts w:eastAsiaTheme="minorEastAsia"/>
          <w:lang w:eastAsia="zh-CN"/>
        </w:rPr>
        <w:t>TS 22.104 V16.0.0 “</w:t>
      </w:r>
      <w:r>
        <w:rPr>
          <w:rFonts w:eastAsia="宋体"/>
        </w:rPr>
        <w:t>Service requirements for cyber-physical control applications in vertical domains; Stage 1 (Release 16)</w:t>
      </w:r>
      <w:r>
        <w:rPr>
          <w:rFonts w:eastAsiaTheme="minorEastAsia"/>
          <w:lang w:eastAsia="zh-CN"/>
        </w:rPr>
        <w:t>”; 3GPP</w:t>
      </w:r>
      <w:bookmarkEnd w:id="8"/>
    </w:p>
    <w:sectPr>
      <w:headerReference r:id="rId3" w:type="default"/>
      <w:footerReference r:id="rId4" w:type="default"/>
      <w:footerReference r:id="rId5" w:type="even"/>
      <w:pgSz w:w="11906" w:h="16838"/>
      <w:pgMar w:top="1440" w:right="1800" w:bottom="1440" w:left="1800" w:header="708" w:footer="709" w:gutter="0"/>
      <w:pgBorders w:offsetFrom="page">
        <w:top w:val="single" w:color="FFFFFF" w:themeColor="background1" w:sz="4" w:space="24"/>
        <w:left w:val="single" w:color="FFFFFF" w:themeColor="background1" w:sz="4" w:space="24"/>
        <w:bottom w:val="single" w:color="FFFFFF" w:themeColor="background1" w:sz="4" w:space="24"/>
        <w:right w:val="single" w:color="FFFFFF" w:themeColor="background1" w:sz="4" w:space="24"/>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separate"/>
    </w:r>
    <w:r>
      <w:rPr>
        <w:rStyle w:val="29"/>
      </w:rPr>
      <w:t>2</w:t>
    </w:r>
    <w:r>
      <w:rPr>
        <w:rStyle w:val="29"/>
      </w:rPr>
      <w:fldChar w:fldCharType="end"/>
    </w:r>
  </w:p>
  <w:p>
    <w:pPr>
      <w:pStyle w:val="16"/>
      <w:tabs>
        <w:tab w:val="left" w:pos="2552"/>
      </w:tabs>
      <w:rPr>
        <w:rFonts w:eastAsia="宋体"/>
        <w:lang w:eastAsia="zh-CN"/>
      </w:rPr>
    </w:pPr>
    <w:r>
      <w:rPr>
        <w:rFonts w:eastAsia="宋体"/>
        <w:lang w:eastAsia="zh-CN"/>
      </w:rPr>
      <w:t>R2-1905742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86423"/>
    <w:multiLevelType w:val="multilevel"/>
    <w:tmpl w:val="1DA864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A55685D"/>
    <w:multiLevelType w:val="singleLevel"/>
    <w:tmpl w:val="4A55685D"/>
    <w:lvl w:ilvl="0" w:tentative="0">
      <w:start w:val="1"/>
      <w:numFmt w:val="bullet"/>
      <w:pStyle w:val="63"/>
      <w:lvlText w:val=""/>
      <w:lvlJc w:val="left"/>
      <w:pPr>
        <w:tabs>
          <w:tab w:val="left" w:pos="992"/>
        </w:tabs>
        <w:ind w:left="992" w:hanging="425"/>
      </w:pPr>
      <w:rPr>
        <w:rFonts w:hint="default" w:ascii="Symbol" w:hAnsi="Symbol"/>
      </w:rPr>
    </w:lvl>
  </w:abstractNum>
  <w:abstractNum w:abstractNumId="3">
    <w:nsid w:val="566F2AD1"/>
    <w:multiLevelType w:val="multilevel"/>
    <w:tmpl w:val="566F2AD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F1912B1"/>
    <w:multiLevelType w:val="multilevel"/>
    <w:tmpl w:val="5F1912B1"/>
    <w:lvl w:ilvl="0" w:tentative="0">
      <w:start w:val="1"/>
      <w:numFmt w:val="bullet"/>
      <w:pStyle w:val="78"/>
      <w:lvlText w:val=""/>
      <w:lvlJc w:val="left"/>
      <w:pPr>
        <w:ind w:left="720" w:hanging="360"/>
      </w:pPr>
      <w:rPr>
        <w:rFonts w:hint="default" w:ascii="Symbol" w:hAnsi="Symbol"/>
      </w:rPr>
    </w:lvl>
    <w:lvl w:ilvl="1" w:tentative="0">
      <w:start w:val="1"/>
      <w:numFmt w:val="bullet"/>
      <w:pStyle w:val="80"/>
      <w:lvlText w:val="o"/>
      <w:lvlJc w:val="left"/>
      <w:pPr>
        <w:ind w:left="1440" w:hanging="360"/>
      </w:pPr>
      <w:rPr>
        <w:rFonts w:hint="default" w:ascii="Courier New" w:hAnsi="Courier New" w:cs="Courier New"/>
      </w:rPr>
    </w:lvl>
    <w:lvl w:ilvl="2" w:tentative="0">
      <w:start w:val="1"/>
      <w:numFmt w:val="bullet"/>
      <w:pStyle w:val="82"/>
      <w:lvlText w:val=""/>
      <w:lvlJc w:val="left"/>
      <w:pPr>
        <w:ind w:left="2160" w:hanging="360"/>
      </w:pPr>
      <w:rPr>
        <w:rFonts w:hint="default" w:ascii="Wingdings" w:hAnsi="Wingdings"/>
      </w:rPr>
    </w:lvl>
    <w:lvl w:ilvl="3" w:tentative="0">
      <w:start w:val="1"/>
      <w:numFmt w:val="bullet"/>
      <w:pStyle w:val="8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1374"/>
        </w:tabs>
        <w:ind w:left="-1374" w:hanging="567"/>
      </w:pPr>
      <w:rPr>
        <w:rFonts w:hint="default"/>
        <w:u w:val="none"/>
      </w:rPr>
    </w:lvl>
    <w:lvl w:ilvl="2" w:tentative="0">
      <w:start w:val="1"/>
      <w:numFmt w:val="decimal"/>
      <w:lvlText w:val="%1.%2.%3"/>
      <w:lvlJc w:val="left"/>
      <w:pPr>
        <w:tabs>
          <w:tab w:val="left" w:pos="-6068"/>
        </w:tabs>
        <w:ind w:left="-3517" w:hanging="1304"/>
      </w:pPr>
      <w:rPr>
        <w:rFonts w:hint="default"/>
        <w:sz w:val="20"/>
        <w:szCs w:val="20"/>
        <w:u w:val="none"/>
      </w:rPr>
    </w:lvl>
    <w:lvl w:ilvl="3" w:tentative="0">
      <w:start w:val="1"/>
      <w:numFmt w:val="decimal"/>
      <w:pStyle w:val="6"/>
      <w:lvlText w:val="%1.%2.%3.%4"/>
      <w:lvlJc w:val="left"/>
      <w:pPr>
        <w:tabs>
          <w:tab w:val="left" w:pos="-6068"/>
        </w:tabs>
        <w:ind w:left="-3517" w:hanging="1304"/>
      </w:pPr>
      <w:rPr>
        <w:rFonts w:hint="default"/>
        <w:u w:val="none"/>
      </w:rPr>
    </w:lvl>
    <w:lvl w:ilvl="4" w:tentative="0">
      <w:start w:val="1"/>
      <w:numFmt w:val="decimal"/>
      <w:lvlText w:val="%1.%2.%3.%4.%5"/>
      <w:lvlJc w:val="left"/>
      <w:pPr>
        <w:tabs>
          <w:tab w:val="left" w:pos="-6068"/>
        </w:tabs>
        <w:ind w:left="-6068" w:firstLine="0"/>
      </w:pPr>
      <w:rPr>
        <w:rFonts w:hint="default"/>
      </w:rPr>
    </w:lvl>
    <w:lvl w:ilvl="5" w:tentative="0">
      <w:start w:val="1"/>
      <w:numFmt w:val="decimal"/>
      <w:lvlText w:val="%1.%2.%3.%4.%5.%6"/>
      <w:lvlJc w:val="left"/>
      <w:pPr>
        <w:tabs>
          <w:tab w:val="left" w:pos="-6068"/>
        </w:tabs>
        <w:ind w:left="-6068" w:firstLine="0"/>
      </w:pPr>
      <w:rPr>
        <w:rFonts w:hint="default"/>
      </w:rPr>
    </w:lvl>
    <w:lvl w:ilvl="6" w:tentative="0">
      <w:start w:val="1"/>
      <w:numFmt w:val="decimal"/>
      <w:lvlText w:val="%1.%2.%3.%4.%5.%6.%7"/>
      <w:lvlJc w:val="left"/>
      <w:pPr>
        <w:tabs>
          <w:tab w:val="left" w:pos="-6068"/>
        </w:tabs>
        <w:ind w:left="-6068" w:firstLine="0"/>
      </w:pPr>
      <w:rPr>
        <w:rFonts w:hint="default"/>
      </w:rPr>
    </w:lvl>
    <w:lvl w:ilvl="7" w:tentative="0">
      <w:start w:val="1"/>
      <w:numFmt w:val="decimal"/>
      <w:lvlText w:val="%1.%2.%3.%4.%5.%6.%7.%8"/>
      <w:lvlJc w:val="left"/>
      <w:pPr>
        <w:tabs>
          <w:tab w:val="left" w:pos="-6068"/>
        </w:tabs>
        <w:ind w:left="-6068" w:firstLine="0"/>
      </w:pPr>
      <w:rPr>
        <w:rFonts w:hint="default"/>
      </w:rPr>
    </w:lvl>
    <w:lvl w:ilvl="8" w:tentative="0">
      <w:start w:val="1"/>
      <w:numFmt w:val="decimal"/>
      <w:lvlText w:val="%1.%2.%3.%4.%5.%6.%7.%8.%9"/>
      <w:lvlJc w:val="left"/>
      <w:pPr>
        <w:tabs>
          <w:tab w:val="left" w:pos="-6068"/>
        </w:tabs>
        <w:ind w:left="-6068" w:firstLine="0"/>
      </w:pPr>
      <w:rPr>
        <w:rFonts w:hint="default"/>
      </w:rPr>
    </w:lvl>
  </w:abstractNum>
  <w:abstractNum w:abstractNumId="7">
    <w:nsid w:val="7F547DFD"/>
    <w:multiLevelType w:val="singleLevel"/>
    <w:tmpl w:val="7F547DFD"/>
    <w:lvl w:ilvl="0" w:tentative="0">
      <w:start w:val="1"/>
      <w:numFmt w:val="bullet"/>
      <w:pStyle w:val="70"/>
      <w:lvlText w:val=""/>
      <w:lvlJc w:val="left"/>
      <w:pPr>
        <w:tabs>
          <w:tab w:val="left" w:pos="1418"/>
        </w:tabs>
        <w:ind w:left="1418" w:hanging="426"/>
      </w:pPr>
      <w:rPr>
        <w:rFonts w:hint="default" w:ascii="Wingdings" w:hAnsi="Wingdings"/>
      </w:rPr>
    </w:lvl>
  </w:abstractNum>
  <w:num w:numId="1">
    <w:abstractNumId w:val="6"/>
  </w:num>
  <w:num w:numId="2">
    <w:abstractNumId w:val="5"/>
  </w:num>
  <w:num w:numId="3">
    <w:abstractNumId w:val="2"/>
  </w:num>
  <w:num w:numId="4">
    <w:abstractNumId w:val="1"/>
  </w:num>
  <w:num w:numId="5">
    <w:abstractNumId w:val="7"/>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2"/>
  <w:characterSpacingControl w:val="doNotCompress"/>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2FFF"/>
    <w:rsid w:val="00003165"/>
    <w:rsid w:val="00003BD4"/>
    <w:rsid w:val="00003EA4"/>
    <w:rsid w:val="00004526"/>
    <w:rsid w:val="00006229"/>
    <w:rsid w:val="000062D6"/>
    <w:rsid w:val="00010C87"/>
    <w:rsid w:val="000116A5"/>
    <w:rsid w:val="00012F65"/>
    <w:rsid w:val="000135B7"/>
    <w:rsid w:val="00013A2D"/>
    <w:rsid w:val="0001438C"/>
    <w:rsid w:val="0001455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4C51"/>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50D9"/>
    <w:rsid w:val="00096BC9"/>
    <w:rsid w:val="00096E96"/>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C93"/>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A8"/>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7DB"/>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57F83"/>
    <w:rsid w:val="00160047"/>
    <w:rsid w:val="001605FD"/>
    <w:rsid w:val="001606C2"/>
    <w:rsid w:val="00160A29"/>
    <w:rsid w:val="00160DB1"/>
    <w:rsid w:val="00160EFC"/>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5959"/>
    <w:rsid w:val="001770AC"/>
    <w:rsid w:val="001770AD"/>
    <w:rsid w:val="00177516"/>
    <w:rsid w:val="00177D25"/>
    <w:rsid w:val="001822DB"/>
    <w:rsid w:val="001824D3"/>
    <w:rsid w:val="0018252A"/>
    <w:rsid w:val="001826BA"/>
    <w:rsid w:val="00183B67"/>
    <w:rsid w:val="0018472E"/>
    <w:rsid w:val="00186372"/>
    <w:rsid w:val="00186741"/>
    <w:rsid w:val="00186909"/>
    <w:rsid w:val="0018753B"/>
    <w:rsid w:val="00187565"/>
    <w:rsid w:val="00187689"/>
    <w:rsid w:val="001906FF"/>
    <w:rsid w:val="00190EB5"/>
    <w:rsid w:val="001930EF"/>
    <w:rsid w:val="00193206"/>
    <w:rsid w:val="00194CDD"/>
    <w:rsid w:val="00195B96"/>
    <w:rsid w:val="001966C5"/>
    <w:rsid w:val="001967FD"/>
    <w:rsid w:val="001969C4"/>
    <w:rsid w:val="0019768A"/>
    <w:rsid w:val="001A08B0"/>
    <w:rsid w:val="001A3832"/>
    <w:rsid w:val="001A3DF9"/>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28DD"/>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6E4E"/>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5162"/>
    <w:rsid w:val="002270A2"/>
    <w:rsid w:val="0023043A"/>
    <w:rsid w:val="00230791"/>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5F07"/>
    <w:rsid w:val="0024673E"/>
    <w:rsid w:val="00247BC4"/>
    <w:rsid w:val="00247D86"/>
    <w:rsid w:val="00250265"/>
    <w:rsid w:val="00250C11"/>
    <w:rsid w:val="002511FB"/>
    <w:rsid w:val="002522BE"/>
    <w:rsid w:val="00252939"/>
    <w:rsid w:val="00253F56"/>
    <w:rsid w:val="00253F74"/>
    <w:rsid w:val="00254EB5"/>
    <w:rsid w:val="0025551A"/>
    <w:rsid w:val="002561E9"/>
    <w:rsid w:val="00256744"/>
    <w:rsid w:val="00256FC0"/>
    <w:rsid w:val="002574BF"/>
    <w:rsid w:val="002574FD"/>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2773"/>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9F9"/>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5A2B"/>
    <w:rsid w:val="0038665D"/>
    <w:rsid w:val="003870EF"/>
    <w:rsid w:val="003875CF"/>
    <w:rsid w:val="00390D39"/>
    <w:rsid w:val="00391A86"/>
    <w:rsid w:val="00391C32"/>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9B4"/>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5E0"/>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0ED6"/>
    <w:rsid w:val="00451022"/>
    <w:rsid w:val="00451613"/>
    <w:rsid w:val="00453F03"/>
    <w:rsid w:val="00453FC7"/>
    <w:rsid w:val="00456089"/>
    <w:rsid w:val="004561CE"/>
    <w:rsid w:val="00460DF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533E"/>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29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5994"/>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251"/>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836"/>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23BC"/>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A6F"/>
    <w:rsid w:val="005F2D82"/>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0FD"/>
    <w:rsid w:val="00625184"/>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802"/>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25E5"/>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6A5"/>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69D"/>
    <w:rsid w:val="00876F25"/>
    <w:rsid w:val="00877006"/>
    <w:rsid w:val="00880FF4"/>
    <w:rsid w:val="00881091"/>
    <w:rsid w:val="008813CF"/>
    <w:rsid w:val="0088309F"/>
    <w:rsid w:val="0088559F"/>
    <w:rsid w:val="00885F6E"/>
    <w:rsid w:val="00886364"/>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13EC"/>
    <w:rsid w:val="008B18DC"/>
    <w:rsid w:val="008B193B"/>
    <w:rsid w:val="008B1DA7"/>
    <w:rsid w:val="008B1F5A"/>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0B1E"/>
    <w:rsid w:val="009018B0"/>
    <w:rsid w:val="00902068"/>
    <w:rsid w:val="009048B6"/>
    <w:rsid w:val="009076A9"/>
    <w:rsid w:val="00907A93"/>
    <w:rsid w:val="009101FE"/>
    <w:rsid w:val="00910727"/>
    <w:rsid w:val="00910BFF"/>
    <w:rsid w:val="0091178A"/>
    <w:rsid w:val="00911EC7"/>
    <w:rsid w:val="00914A5A"/>
    <w:rsid w:val="00914F06"/>
    <w:rsid w:val="009151BD"/>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92A"/>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89D"/>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1F8A"/>
    <w:rsid w:val="00972FA1"/>
    <w:rsid w:val="009733D7"/>
    <w:rsid w:val="0097492D"/>
    <w:rsid w:val="0097516F"/>
    <w:rsid w:val="009759B0"/>
    <w:rsid w:val="009765A9"/>
    <w:rsid w:val="00976646"/>
    <w:rsid w:val="00976A49"/>
    <w:rsid w:val="00977856"/>
    <w:rsid w:val="00977F1F"/>
    <w:rsid w:val="00981DDE"/>
    <w:rsid w:val="009820BB"/>
    <w:rsid w:val="00982E3D"/>
    <w:rsid w:val="00983056"/>
    <w:rsid w:val="00983659"/>
    <w:rsid w:val="0098433B"/>
    <w:rsid w:val="00984E31"/>
    <w:rsid w:val="00984F54"/>
    <w:rsid w:val="00986DBA"/>
    <w:rsid w:val="0099150C"/>
    <w:rsid w:val="00991CF9"/>
    <w:rsid w:val="00992425"/>
    <w:rsid w:val="00992EBB"/>
    <w:rsid w:val="00992F8C"/>
    <w:rsid w:val="009939D2"/>
    <w:rsid w:val="00993DCE"/>
    <w:rsid w:val="009950D2"/>
    <w:rsid w:val="0099571D"/>
    <w:rsid w:val="00995AB9"/>
    <w:rsid w:val="00995D2E"/>
    <w:rsid w:val="00996B8A"/>
    <w:rsid w:val="00996D22"/>
    <w:rsid w:val="009971D4"/>
    <w:rsid w:val="009974D7"/>
    <w:rsid w:val="009A0411"/>
    <w:rsid w:val="009A05B6"/>
    <w:rsid w:val="009A071B"/>
    <w:rsid w:val="009A144F"/>
    <w:rsid w:val="009A186D"/>
    <w:rsid w:val="009A2A8C"/>
    <w:rsid w:val="009A360A"/>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6BB8"/>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486"/>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76A"/>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0B9E"/>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7B6"/>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1557"/>
    <w:rsid w:val="00A91AC9"/>
    <w:rsid w:val="00A9282E"/>
    <w:rsid w:val="00A936C6"/>
    <w:rsid w:val="00A93B0E"/>
    <w:rsid w:val="00A93B68"/>
    <w:rsid w:val="00A94930"/>
    <w:rsid w:val="00A95278"/>
    <w:rsid w:val="00A96357"/>
    <w:rsid w:val="00A96799"/>
    <w:rsid w:val="00AA0DA8"/>
    <w:rsid w:val="00AA1871"/>
    <w:rsid w:val="00AA24F2"/>
    <w:rsid w:val="00AA496B"/>
    <w:rsid w:val="00AA4DBA"/>
    <w:rsid w:val="00AA52AE"/>
    <w:rsid w:val="00AA54B6"/>
    <w:rsid w:val="00AA5B13"/>
    <w:rsid w:val="00AA659E"/>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3B8"/>
    <w:rsid w:val="00B00DBB"/>
    <w:rsid w:val="00B022FC"/>
    <w:rsid w:val="00B02F4F"/>
    <w:rsid w:val="00B03FCB"/>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DB7"/>
    <w:rsid w:val="00B925CD"/>
    <w:rsid w:val="00B92E7E"/>
    <w:rsid w:val="00B93AA1"/>
    <w:rsid w:val="00B94476"/>
    <w:rsid w:val="00B95E9C"/>
    <w:rsid w:val="00B96118"/>
    <w:rsid w:val="00B96435"/>
    <w:rsid w:val="00B96B53"/>
    <w:rsid w:val="00B979E0"/>
    <w:rsid w:val="00B97D87"/>
    <w:rsid w:val="00BA1249"/>
    <w:rsid w:val="00BA15C8"/>
    <w:rsid w:val="00BA245C"/>
    <w:rsid w:val="00BA25F4"/>
    <w:rsid w:val="00BA3649"/>
    <w:rsid w:val="00BA3C73"/>
    <w:rsid w:val="00BA6267"/>
    <w:rsid w:val="00BA660F"/>
    <w:rsid w:val="00BA694A"/>
    <w:rsid w:val="00BA724E"/>
    <w:rsid w:val="00BA73E0"/>
    <w:rsid w:val="00BA74E8"/>
    <w:rsid w:val="00BA7691"/>
    <w:rsid w:val="00BA792C"/>
    <w:rsid w:val="00BA7DF1"/>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5064"/>
    <w:rsid w:val="00BD51E4"/>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51CF"/>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C1"/>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6F67"/>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29"/>
    <w:rsid w:val="00C97E62"/>
    <w:rsid w:val="00CA09FB"/>
    <w:rsid w:val="00CA0D21"/>
    <w:rsid w:val="00CA0D7A"/>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5036"/>
    <w:rsid w:val="00CC537F"/>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0FD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473F"/>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5D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5D74"/>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5CE"/>
    <w:rsid w:val="00D9197D"/>
    <w:rsid w:val="00D91CBF"/>
    <w:rsid w:val="00D91F03"/>
    <w:rsid w:val="00D92817"/>
    <w:rsid w:val="00D92C9E"/>
    <w:rsid w:val="00D92CAF"/>
    <w:rsid w:val="00D92D19"/>
    <w:rsid w:val="00D9428F"/>
    <w:rsid w:val="00D944E5"/>
    <w:rsid w:val="00D95529"/>
    <w:rsid w:val="00D9647D"/>
    <w:rsid w:val="00D97312"/>
    <w:rsid w:val="00DA0366"/>
    <w:rsid w:val="00DA06E0"/>
    <w:rsid w:val="00DA1438"/>
    <w:rsid w:val="00DA14FA"/>
    <w:rsid w:val="00DA30AD"/>
    <w:rsid w:val="00DA3155"/>
    <w:rsid w:val="00DA36F0"/>
    <w:rsid w:val="00DA44C7"/>
    <w:rsid w:val="00DA4A1C"/>
    <w:rsid w:val="00DA4A7A"/>
    <w:rsid w:val="00DA5B8B"/>
    <w:rsid w:val="00DA60F2"/>
    <w:rsid w:val="00DA6A89"/>
    <w:rsid w:val="00DA7454"/>
    <w:rsid w:val="00DA7733"/>
    <w:rsid w:val="00DA7DD9"/>
    <w:rsid w:val="00DB040A"/>
    <w:rsid w:val="00DB0AA0"/>
    <w:rsid w:val="00DB2213"/>
    <w:rsid w:val="00DB23BC"/>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4DBB"/>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51D"/>
    <w:rsid w:val="00E50C8B"/>
    <w:rsid w:val="00E51049"/>
    <w:rsid w:val="00E52F7D"/>
    <w:rsid w:val="00E530F2"/>
    <w:rsid w:val="00E5321F"/>
    <w:rsid w:val="00E54085"/>
    <w:rsid w:val="00E542F2"/>
    <w:rsid w:val="00E54AA8"/>
    <w:rsid w:val="00E54B7C"/>
    <w:rsid w:val="00E55026"/>
    <w:rsid w:val="00E55AEC"/>
    <w:rsid w:val="00E55E30"/>
    <w:rsid w:val="00E56B6E"/>
    <w:rsid w:val="00E56FFA"/>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3EBD"/>
    <w:rsid w:val="00E741D9"/>
    <w:rsid w:val="00E758A4"/>
    <w:rsid w:val="00E77766"/>
    <w:rsid w:val="00E77C67"/>
    <w:rsid w:val="00E807C9"/>
    <w:rsid w:val="00E813F2"/>
    <w:rsid w:val="00E818C9"/>
    <w:rsid w:val="00E827D8"/>
    <w:rsid w:val="00E82C3C"/>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2DD"/>
    <w:rsid w:val="00E92D12"/>
    <w:rsid w:val="00E92EC7"/>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15B"/>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6A5"/>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971"/>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0E3"/>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1B9"/>
    <w:rsid w:val="00FF0840"/>
    <w:rsid w:val="00FF0AD4"/>
    <w:rsid w:val="00FF2EE8"/>
    <w:rsid w:val="00FF30E6"/>
    <w:rsid w:val="00FF3812"/>
    <w:rsid w:val="00FF4434"/>
    <w:rsid w:val="00FF48FB"/>
    <w:rsid w:val="00FF5529"/>
    <w:rsid w:val="00FF58D3"/>
    <w:rsid w:val="00FF5AC1"/>
    <w:rsid w:val="00FF5CD1"/>
    <w:rsid w:val="00FF5CEE"/>
    <w:rsid w:val="00FF5FFE"/>
    <w:rsid w:val="00FF75C3"/>
    <w:rsid w:val="53CD4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59" w:semiHidden="0" w:name="Table Grid"/>
    <w:lsdException w:unhideWhenUsed="0" w:uiPriority="0" w:semiHidden="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88"/>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89"/>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66"/>
    <w:semiHidden/>
    <w:unhideWhenUsed/>
    <w:qFormat/>
    <w:uiPriority w:val="0"/>
    <w:pPr>
      <w:keepNext/>
      <w:keepLines/>
      <w:spacing w:before="280" w:after="290" w:line="376" w:lineRule="auto"/>
      <w:outlineLvl w:val="4"/>
    </w:pPr>
    <w:rPr>
      <w:b/>
      <w:bCs/>
      <w:sz w:val="28"/>
      <w:szCs w:val="28"/>
    </w:rPr>
  </w:style>
  <w:style w:type="character" w:default="1" w:styleId="27">
    <w:name w:val="Default Paragraph Font"/>
    <w:semiHidden/>
    <w:unhideWhenUsed/>
    <w:uiPriority w:val="1"/>
  </w:style>
  <w:style w:type="table" w:default="1" w:styleId="23">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38"/>
    <w:uiPriority w:val="0"/>
    <w:pPr>
      <w:spacing w:after="120"/>
      <w:jc w:val="both"/>
    </w:pPr>
    <w:rPr>
      <w:rFonts w:eastAsia="MS Mincho"/>
    </w:rPr>
  </w:style>
  <w:style w:type="paragraph" w:styleId="8">
    <w:name w:val="List 3"/>
    <w:basedOn w:val="1"/>
    <w:uiPriority w:val="0"/>
    <w:pPr>
      <w:ind w:left="100" w:leftChars="400" w:hanging="200" w:hangingChars="200"/>
      <w:contextualSpacing/>
    </w:pPr>
  </w:style>
  <w:style w:type="paragraph" w:styleId="9">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10">
    <w:name w:val="Document Map"/>
    <w:basedOn w:val="1"/>
    <w:semiHidden/>
    <w:uiPriority w:val="0"/>
    <w:pPr>
      <w:shd w:val="clear" w:color="auto" w:fill="000080"/>
    </w:pPr>
  </w:style>
  <w:style w:type="paragraph" w:styleId="11">
    <w:name w:val="annotation text"/>
    <w:basedOn w:val="1"/>
    <w:link w:val="62"/>
    <w:uiPriority w:val="99"/>
  </w:style>
  <w:style w:type="paragraph" w:styleId="12">
    <w:name w:val="List 2"/>
    <w:basedOn w:val="13"/>
    <w:uiPriority w:val="0"/>
    <w:pPr>
      <w:numPr>
        <w:ilvl w:val="0"/>
        <w:numId w:val="2"/>
      </w:numPr>
      <w:spacing w:before="180"/>
    </w:pPr>
    <w:rPr>
      <w:rFonts w:ascii="Arial" w:hAnsi="Arial"/>
      <w:sz w:val="22"/>
      <w:szCs w:val="20"/>
    </w:rPr>
  </w:style>
  <w:style w:type="paragraph" w:styleId="13">
    <w:name w:val="List"/>
    <w:basedOn w:val="1"/>
    <w:uiPriority w:val="0"/>
    <w:pPr>
      <w:ind w:left="283" w:hanging="283"/>
    </w:pPr>
  </w:style>
  <w:style w:type="paragraph" w:styleId="14">
    <w:name w:val="endnote text"/>
    <w:basedOn w:val="1"/>
    <w:link w:val="44"/>
    <w:uiPriority w:val="0"/>
    <w:rPr>
      <w:szCs w:val="20"/>
    </w:rPr>
  </w:style>
  <w:style w:type="paragraph" w:styleId="15">
    <w:name w:val="Balloon Text"/>
    <w:basedOn w:val="1"/>
    <w:semiHidden/>
    <w:uiPriority w:val="0"/>
    <w:rPr>
      <w:sz w:val="18"/>
      <w:szCs w:val="18"/>
    </w:rPr>
  </w:style>
  <w:style w:type="paragraph" w:styleId="16">
    <w:name w:val="footer"/>
    <w:basedOn w:val="1"/>
    <w:uiPriority w:val="0"/>
    <w:pPr>
      <w:tabs>
        <w:tab w:val="center" w:pos="4153"/>
        <w:tab w:val="right" w:pos="8306"/>
      </w:tabs>
      <w:snapToGrid w:val="0"/>
    </w:pPr>
    <w:rPr>
      <w:sz w:val="18"/>
      <w:szCs w:val="18"/>
    </w:rPr>
  </w:style>
  <w:style w:type="paragraph" w:styleId="17">
    <w:name w:val="header"/>
    <w:basedOn w:val="1"/>
    <w:link w:val="49"/>
    <w:uiPriority w:val="0"/>
    <w:pPr>
      <w:tabs>
        <w:tab w:val="center" w:pos="4536"/>
        <w:tab w:val="right" w:pos="9072"/>
      </w:tabs>
    </w:pPr>
    <w:rPr>
      <w:rFonts w:ascii="Arial" w:hAnsi="Arial" w:eastAsia="MS Mincho"/>
      <w:b/>
    </w:rPr>
  </w:style>
  <w:style w:type="paragraph" w:styleId="18">
    <w:name w:val="footnote text"/>
    <w:basedOn w:val="1"/>
    <w:link w:val="43"/>
    <w:uiPriority w:val="0"/>
    <w:rPr>
      <w:szCs w:val="20"/>
    </w:rPr>
  </w:style>
  <w:style w:type="paragraph" w:styleId="19">
    <w:name w:val="List 5"/>
    <w:basedOn w:val="1"/>
    <w:uiPriority w:val="0"/>
    <w:pPr>
      <w:ind w:left="100" w:leftChars="800" w:hanging="200" w:hangingChars="200"/>
      <w:contextualSpacing/>
    </w:pPr>
  </w:style>
  <w:style w:type="paragraph" w:styleId="20">
    <w:name w:val="List 4"/>
    <w:basedOn w:val="1"/>
    <w:uiPriority w:val="0"/>
    <w:pPr>
      <w:ind w:left="100" w:leftChars="600" w:hanging="200" w:hangingChars="200"/>
      <w:contextualSpacing/>
    </w:pPr>
  </w:style>
  <w:style w:type="paragraph" w:styleId="21">
    <w:name w:val="Normal (Web)"/>
    <w:basedOn w:val="1"/>
    <w:unhideWhenUsed/>
    <w:uiPriority w:val="99"/>
    <w:pPr>
      <w:spacing w:before="100" w:beforeAutospacing="1" w:after="100" w:afterAutospacing="1"/>
    </w:pPr>
    <w:rPr>
      <w:sz w:val="24"/>
      <w:lang w:eastAsia="zh-CN"/>
    </w:rPr>
  </w:style>
  <w:style w:type="paragraph" w:styleId="22">
    <w:name w:val="annotation subject"/>
    <w:basedOn w:val="11"/>
    <w:next w:val="11"/>
    <w:semiHidden/>
    <w:uiPriority w:val="0"/>
    <w:rPr>
      <w:b/>
      <w:bCs/>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5">
    <w:name w:val="Table Classic 3"/>
    <w:basedOn w:val="23"/>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6">
    <w:name w:val="Table Grid 8"/>
    <w:basedOn w:val="23"/>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8">
    <w:name w:val="endnote reference"/>
    <w:basedOn w:val="27"/>
    <w:uiPriority w:val="0"/>
    <w:rPr>
      <w:vertAlign w:val="superscript"/>
    </w:rPr>
  </w:style>
  <w:style w:type="character" w:styleId="29">
    <w:name w:val="page number"/>
    <w:basedOn w:val="27"/>
    <w:uiPriority w:val="0"/>
  </w:style>
  <w:style w:type="character" w:styleId="30">
    <w:name w:val="Hyperlink"/>
    <w:basedOn w:val="27"/>
    <w:unhideWhenUsed/>
    <w:uiPriority w:val="99"/>
    <w:rPr>
      <w:color w:val="0000FF"/>
      <w:u w:val="single"/>
    </w:rPr>
  </w:style>
  <w:style w:type="character" w:styleId="31">
    <w:name w:val="annotation reference"/>
    <w:uiPriority w:val="0"/>
    <w:rPr>
      <w:sz w:val="21"/>
      <w:szCs w:val="21"/>
    </w:rPr>
  </w:style>
  <w:style w:type="character" w:styleId="32">
    <w:name w:val="footnote reference"/>
    <w:basedOn w:val="27"/>
    <w:uiPriority w:val="0"/>
    <w:rPr>
      <w:vertAlign w:val="superscript"/>
    </w:rPr>
  </w:style>
  <w:style w:type="character" w:customStyle="1" w:styleId="33">
    <w:name w:val="Caption Char1"/>
    <w:link w:val="9"/>
    <w:uiPriority w:val="0"/>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character" w:customStyle="1" w:styleId="36">
    <w:name w:val="Comments Char"/>
    <w:link w:val="37"/>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Body Text Char"/>
    <w:link w:val="3"/>
    <w:uiPriority w:val="0"/>
    <w:rPr>
      <w:rFonts w:eastAsia="MS Mincho"/>
      <w:szCs w:val="24"/>
      <w:lang w:eastAsia="en-US"/>
    </w:rPr>
  </w:style>
  <w:style w:type="character" w:customStyle="1" w:styleId="39">
    <w:name w:val="List Paragraph Char"/>
    <w:link w:val="34"/>
    <w:uiPriority w:val="34"/>
    <w:rPr>
      <w:rFonts w:eastAsia="MS Mincho"/>
      <w:lang w:val="en-GB" w:eastAsia="en-US"/>
    </w:rPr>
  </w:style>
  <w:style w:type="character" w:customStyle="1" w:styleId="40">
    <w:name w:val="Body Text Char1"/>
    <w:basedOn w:val="27"/>
    <w:locked/>
    <w:uiPriority w:val="99"/>
    <w:rPr>
      <w:rFonts w:eastAsia="MS Mincho" w:cs="Times New Roman"/>
      <w:sz w:val="24"/>
      <w:szCs w:val="24"/>
      <w:lang w:eastAsia="en-US"/>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uiPriority w:val="0"/>
    <w:rPr>
      <w:rFonts w:ascii="Arial" w:hAnsi="Arial" w:eastAsia="MS Mincho"/>
      <w:szCs w:val="24"/>
      <w:lang w:val="en-GB" w:eastAsia="en-GB"/>
    </w:rPr>
  </w:style>
  <w:style w:type="character" w:customStyle="1" w:styleId="43">
    <w:name w:val="Footnote Text Char"/>
    <w:basedOn w:val="27"/>
    <w:link w:val="18"/>
    <w:uiPriority w:val="0"/>
    <w:rPr>
      <w:rFonts w:eastAsia="Times New Roman"/>
      <w:lang w:eastAsia="en-US"/>
    </w:rPr>
  </w:style>
  <w:style w:type="character" w:customStyle="1" w:styleId="44">
    <w:name w:val="Endnote Text Char"/>
    <w:basedOn w:val="27"/>
    <w:link w:val="14"/>
    <w:uiPriority w:val="0"/>
    <w:rPr>
      <w:rFonts w:eastAsia="Times New Roman"/>
      <w:lang w:eastAsia="en-US"/>
    </w:rPr>
  </w:style>
  <w:style w:type="character" w:customStyle="1" w:styleId="45">
    <w:name w:val="apple-converted-space"/>
    <w:basedOn w:val="27"/>
    <w:uiPriority w:val="0"/>
  </w:style>
  <w:style w:type="paragraph" w:customStyle="1" w:styleId="46">
    <w:name w:val="Revision"/>
    <w:hidden/>
    <w:semiHidden/>
    <w:uiPriority w:val="99"/>
    <w:rPr>
      <w:rFonts w:ascii="Times New Roman" w:hAnsi="Times New Roman" w:eastAsia="Times New Roman" w:cs="Times New Roman"/>
      <w:szCs w:val="24"/>
      <w:lang w:val="en-US" w:eastAsia="en-US" w:bidi="ar-SA"/>
    </w:rPr>
  </w:style>
  <w:style w:type="paragraph" w:customStyle="1" w:styleId="47">
    <w:name w:val="TF"/>
    <w:basedOn w:val="1"/>
    <w:link w:val="48"/>
    <w:uiPriority w:val="0"/>
    <w:pPr>
      <w:keepLines/>
      <w:spacing w:after="240"/>
      <w:jc w:val="center"/>
    </w:pPr>
    <w:rPr>
      <w:rFonts w:ascii="Arial" w:hAnsi="Arial" w:eastAsia="MS Mincho"/>
      <w:b/>
      <w:szCs w:val="20"/>
      <w:lang w:val="en-GB"/>
    </w:rPr>
  </w:style>
  <w:style w:type="character" w:customStyle="1" w:styleId="48">
    <w:name w:val="TF Char"/>
    <w:basedOn w:val="27"/>
    <w:link w:val="47"/>
    <w:uiPriority w:val="0"/>
    <w:rPr>
      <w:rFonts w:ascii="Arial" w:hAnsi="Arial" w:eastAsia="MS Mincho"/>
      <w:b/>
      <w:lang w:val="en-GB" w:eastAsia="en-US"/>
    </w:rPr>
  </w:style>
  <w:style w:type="character" w:customStyle="1" w:styleId="49">
    <w:name w:val="Header Char"/>
    <w:basedOn w:val="27"/>
    <w:link w:val="17"/>
    <w:uiPriority w:val="0"/>
    <w:rPr>
      <w:rFonts w:ascii="Arial" w:hAnsi="Arial" w:eastAsia="MS Mincho"/>
      <w:b/>
      <w:szCs w:val="24"/>
      <w:lang w:eastAsia="en-US"/>
    </w:rPr>
  </w:style>
  <w:style w:type="paragraph" w:customStyle="1" w:styleId="50">
    <w:name w:val="NO"/>
    <w:basedOn w:val="1"/>
    <w:link w:val="51"/>
    <w:qFormat/>
    <w:uiPriority w:val="0"/>
    <w:pPr>
      <w:keepLines/>
      <w:overflowPunct w:val="0"/>
      <w:autoSpaceDE w:val="0"/>
      <w:autoSpaceDN w:val="0"/>
      <w:adjustRightInd w:val="0"/>
      <w:spacing w:after="180"/>
      <w:ind w:left="1135" w:hanging="851"/>
      <w:textAlignment w:val="baseline"/>
    </w:pPr>
    <w:rPr>
      <w:szCs w:val="20"/>
      <w:lang w:val="en-GB"/>
    </w:rPr>
  </w:style>
  <w:style w:type="character" w:customStyle="1" w:styleId="51">
    <w:name w:val="NO Char1"/>
    <w:link w:val="50"/>
    <w:uiPriority w:val="0"/>
    <w:rPr>
      <w:rFonts w:eastAsia="Times New Roman"/>
      <w:lang w:val="en-GB" w:eastAsia="en-US"/>
    </w:rPr>
  </w:style>
  <w:style w:type="paragraph" w:customStyle="1" w:styleId="52">
    <w:name w:val="B1"/>
    <w:basedOn w:val="13"/>
    <w:link w:val="55"/>
    <w:qFormat/>
    <w:uiPriority w:val="0"/>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53">
    <w:name w:val="B2"/>
    <w:basedOn w:val="12"/>
    <w:link w:val="56"/>
    <w:uiPriority w:val="0"/>
    <w:pPr>
      <w:numPr>
        <w:ilvl w:val="0"/>
        <w:numId w:val="0"/>
      </w:numPr>
      <w:overflowPunct w:val="0"/>
      <w:autoSpaceDE w:val="0"/>
      <w:autoSpaceDN w:val="0"/>
      <w:adjustRightInd w:val="0"/>
      <w:spacing w:before="0" w:after="180"/>
      <w:ind w:left="851" w:hanging="284"/>
      <w:textAlignment w:val="baseline"/>
    </w:pPr>
    <w:rPr>
      <w:rFonts w:ascii="Times New Roman" w:hAnsi="Times New Roman" w:eastAsiaTheme="minorEastAsia"/>
      <w:sz w:val="20"/>
      <w:lang w:val="en-GB"/>
    </w:rPr>
  </w:style>
  <w:style w:type="paragraph" w:customStyle="1" w:styleId="54">
    <w:name w:val="B3"/>
    <w:basedOn w:val="8"/>
    <w:link w:val="57"/>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rPr>
  </w:style>
  <w:style w:type="character" w:customStyle="1" w:styleId="55">
    <w:name w:val="B1 Char"/>
    <w:link w:val="52"/>
    <w:qFormat/>
    <w:uiPriority w:val="0"/>
    <w:rPr>
      <w:rFonts w:eastAsiaTheme="minorEastAsia"/>
      <w:lang w:val="en-GB"/>
    </w:rPr>
  </w:style>
  <w:style w:type="character" w:customStyle="1" w:styleId="56">
    <w:name w:val="B2 Char"/>
    <w:link w:val="53"/>
    <w:uiPriority w:val="0"/>
    <w:rPr>
      <w:rFonts w:eastAsiaTheme="minorEastAsia"/>
      <w:lang w:val="en-GB"/>
    </w:rPr>
  </w:style>
  <w:style w:type="character" w:customStyle="1" w:styleId="57">
    <w:name w:val="B3 Char"/>
    <w:link w:val="54"/>
    <w:uiPriority w:val="0"/>
    <w:rPr>
      <w:rFonts w:eastAsiaTheme="minorEastAsia"/>
      <w:lang w:val="en-GB"/>
    </w:rPr>
  </w:style>
  <w:style w:type="paragraph" w:customStyle="1" w:styleId="58">
    <w:name w:val="B4"/>
    <w:basedOn w:val="20"/>
    <w:link w:val="59"/>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rPr>
  </w:style>
  <w:style w:type="character" w:customStyle="1" w:styleId="59">
    <w:name w:val="B4 Char"/>
    <w:link w:val="58"/>
    <w:uiPriority w:val="0"/>
    <w:rPr>
      <w:rFonts w:eastAsiaTheme="minorEastAsia"/>
      <w:lang w:val="en-GB"/>
    </w:rPr>
  </w:style>
  <w:style w:type="paragraph" w:customStyle="1" w:styleId="60">
    <w:name w:val="B5"/>
    <w:basedOn w:val="19"/>
    <w:uiPriority w:val="0"/>
    <w:pPr>
      <w:overflowPunct w:val="0"/>
      <w:autoSpaceDE w:val="0"/>
      <w:autoSpaceDN w:val="0"/>
      <w:adjustRightInd w:val="0"/>
      <w:spacing w:after="180"/>
      <w:ind w:left="1702" w:leftChars="0" w:hanging="284" w:firstLineChars="0"/>
      <w:contextualSpacing w:val="0"/>
      <w:textAlignment w:val="baseline"/>
    </w:pPr>
    <w:rPr>
      <w:rFonts w:eastAsiaTheme="minorEastAsia"/>
      <w:szCs w:val="20"/>
      <w:lang w:val="en-GB" w:eastAsia="ko-KR"/>
    </w:rPr>
  </w:style>
  <w:style w:type="paragraph" w:customStyle="1" w:styleId="61">
    <w:name w:val="Guidance"/>
    <w:basedOn w:val="1"/>
    <w:uiPriority w:val="0"/>
    <w:pPr>
      <w:spacing w:after="180"/>
    </w:pPr>
    <w:rPr>
      <w:rFonts w:eastAsia="Malgun Gothic"/>
      <w:i/>
      <w:color w:val="0000FF"/>
      <w:szCs w:val="20"/>
      <w:lang w:val="en-GB"/>
    </w:rPr>
  </w:style>
  <w:style w:type="character" w:customStyle="1" w:styleId="62">
    <w:name w:val="Comment Text Char"/>
    <w:link w:val="11"/>
    <w:uiPriority w:val="99"/>
    <w:rPr>
      <w:rFonts w:eastAsia="Times New Roman"/>
      <w:szCs w:val="24"/>
      <w:lang w:eastAsia="en-US"/>
    </w:rPr>
  </w:style>
  <w:style w:type="paragraph" w:customStyle="1" w:styleId="63">
    <w:name w:val="text intend 1"/>
    <w:basedOn w:val="1"/>
    <w:uiPriority w:val="0"/>
    <w:pPr>
      <w:numPr>
        <w:ilvl w:val="0"/>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64">
    <w:name w:val="Proposal"/>
    <w:basedOn w:val="1"/>
    <w:uiPriority w:val="0"/>
    <w:pPr>
      <w:numPr>
        <w:ilvl w:val="0"/>
        <w:numId w:val="4"/>
      </w:numPr>
      <w:tabs>
        <w:tab w:val="left" w:pos="1701"/>
        <w:tab w:val="clear" w:pos="1304"/>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65">
    <w:name w:val="H6"/>
    <w:basedOn w:val="7"/>
    <w:next w:val="1"/>
    <w:uiPriority w:val="0"/>
    <w:pPr>
      <w:spacing w:before="120" w:after="180" w:line="240" w:lineRule="auto"/>
      <w:ind w:left="1985" w:hanging="1985"/>
      <w:outlineLvl w:val="9"/>
    </w:pPr>
    <w:rPr>
      <w:rFonts w:ascii="Arial" w:hAnsi="Arial" w:eastAsia="Malgun Gothic"/>
      <w:b w:val="0"/>
      <w:bCs w:val="0"/>
      <w:sz w:val="20"/>
      <w:szCs w:val="20"/>
      <w:lang w:val="en-GB"/>
    </w:rPr>
  </w:style>
  <w:style w:type="character" w:customStyle="1" w:styleId="66">
    <w:name w:val="Heading 5 Char"/>
    <w:basedOn w:val="27"/>
    <w:link w:val="7"/>
    <w:semiHidden/>
    <w:uiPriority w:val="0"/>
    <w:rPr>
      <w:rFonts w:eastAsia="Times New Roman"/>
      <w:b/>
      <w:bCs/>
      <w:sz w:val="28"/>
      <w:szCs w:val="28"/>
      <w:lang w:eastAsia="en-US"/>
    </w:rPr>
  </w:style>
  <w:style w:type="character" w:customStyle="1" w:styleId="67">
    <w:name w:val="NO Char"/>
    <w:qFormat/>
    <w:uiPriority w:val="0"/>
    <w:rPr>
      <w:lang w:val="en-GB" w:eastAsia="en-US"/>
    </w:rPr>
  </w:style>
  <w:style w:type="paragraph" w:customStyle="1" w:styleId="68">
    <w:name w:val="EQ"/>
    <w:basedOn w:val="1"/>
    <w:next w:val="1"/>
    <w:uiPriority w:val="0"/>
    <w:pPr>
      <w:keepLines/>
      <w:tabs>
        <w:tab w:val="center" w:pos="4536"/>
        <w:tab w:val="right" w:pos="9072"/>
      </w:tabs>
      <w:spacing w:after="180"/>
    </w:pPr>
    <w:rPr>
      <w:rFonts w:eastAsiaTheme="minorEastAsia"/>
      <w:szCs w:val="20"/>
      <w:lang w:val="en-GB"/>
    </w:rPr>
  </w:style>
  <w:style w:type="character" w:customStyle="1" w:styleId="69">
    <w:name w:val="B1 Zchn"/>
    <w:uiPriority w:val="0"/>
    <w:rPr>
      <w:lang w:eastAsia="en-US"/>
    </w:rPr>
  </w:style>
  <w:style w:type="paragraph" w:customStyle="1" w:styleId="70">
    <w:name w:val="text intend 2"/>
    <w:basedOn w:val="1"/>
    <w:uiPriority w:val="0"/>
    <w:pPr>
      <w:numPr>
        <w:ilvl w:val="0"/>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71">
    <w:name w:val="TAH"/>
    <w:basedOn w:val="72"/>
    <w:link w:val="75"/>
    <w:qFormat/>
    <w:uiPriority w:val="0"/>
    <w:rPr>
      <w:b/>
    </w:rPr>
  </w:style>
  <w:style w:type="paragraph" w:customStyle="1" w:styleId="72">
    <w:name w:val="TAC"/>
    <w:basedOn w:val="1"/>
    <w:link w:val="74"/>
    <w:qFormat/>
    <w:uiPriority w:val="0"/>
    <w:pPr>
      <w:keepNext/>
      <w:keepLines/>
      <w:jc w:val="center"/>
    </w:pPr>
    <w:rPr>
      <w:rFonts w:ascii="Arial" w:hAnsi="Arial" w:eastAsia="Malgun Gothic"/>
      <w:sz w:val="18"/>
      <w:szCs w:val="20"/>
      <w:lang w:val="en-GB"/>
    </w:rPr>
  </w:style>
  <w:style w:type="paragraph" w:customStyle="1" w:styleId="73">
    <w:name w:val="TH"/>
    <w:basedOn w:val="1"/>
    <w:link w:val="76"/>
    <w:qFormat/>
    <w:uiPriority w:val="0"/>
    <w:pPr>
      <w:keepNext/>
      <w:keepLines/>
      <w:spacing w:before="60" w:after="180"/>
      <w:jc w:val="center"/>
    </w:pPr>
    <w:rPr>
      <w:rFonts w:ascii="Arial" w:hAnsi="Arial" w:eastAsia="Malgun Gothic"/>
      <w:b/>
      <w:szCs w:val="20"/>
      <w:lang w:val="en-GB"/>
    </w:rPr>
  </w:style>
  <w:style w:type="character" w:customStyle="1" w:styleId="74">
    <w:name w:val="TAC Char"/>
    <w:link w:val="72"/>
    <w:uiPriority w:val="0"/>
    <w:rPr>
      <w:rFonts w:ascii="Arial" w:hAnsi="Arial" w:eastAsia="Malgun Gothic"/>
      <w:sz w:val="18"/>
      <w:lang w:val="en-GB" w:eastAsia="en-US"/>
    </w:rPr>
  </w:style>
  <w:style w:type="character" w:customStyle="1" w:styleId="75">
    <w:name w:val="TAH Car"/>
    <w:link w:val="71"/>
    <w:qFormat/>
    <w:uiPriority w:val="0"/>
    <w:rPr>
      <w:rFonts w:ascii="Arial" w:hAnsi="Arial" w:eastAsia="Malgun Gothic"/>
      <w:b/>
      <w:sz w:val="18"/>
      <w:lang w:val="en-GB" w:eastAsia="en-US"/>
    </w:rPr>
  </w:style>
  <w:style w:type="character" w:customStyle="1" w:styleId="76">
    <w:name w:val="TH Char"/>
    <w:link w:val="73"/>
    <w:qFormat/>
    <w:uiPriority w:val="0"/>
    <w:rPr>
      <w:rFonts w:ascii="Arial" w:hAnsi="Arial" w:eastAsia="Malgun Gothic"/>
      <w:b/>
      <w:lang w:val="en-GB" w:eastAsia="en-US"/>
    </w:rPr>
  </w:style>
  <w:style w:type="paragraph" w:customStyle="1" w:styleId="77">
    <w:name w:val="text"/>
    <w:basedOn w:val="1"/>
    <w:link w:val="79"/>
    <w:qFormat/>
    <w:uiPriority w:val="0"/>
    <w:pPr>
      <w:widowControl w:val="0"/>
      <w:spacing w:after="240"/>
      <w:jc w:val="both"/>
    </w:pPr>
    <w:rPr>
      <w:rFonts w:ascii="Calibri" w:hAnsi="Calibri" w:eastAsia="宋体"/>
      <w:kern w:val="2"/>
      <w:sz w:val="24"/>
      <w:szCs w:val="20"/>
      <w:lang w:eastAsia="zh-CN"/>
    </w:rPr>
  </w:style>
  <w:style w:type="paragraph" w:customStyle="1" w:styleId="78">
    <w:name w:val="bullet1"/>
    <w:basedOn w:val="77"/>
    <w:link w:val="81"/>
    <w:qFormat/>
    <w:uiPriority w:val="0"/>
    <w:pPr>
      <w:widowControl/>
      <w:numPr>
        <w:ilvl w:val="0"/>
        <w:numId w:val="6"/>
      </w:numPr>
      <w:spacing w:after="0"/>
      <w:jc w:val="left"/>
    </w:pPr>
    <w:rPr>
      <w:szCs w:val="24"/>
      <w:lang w:val="en-GB"/>
    </w:rPr>
  </w:style>
  <w:style w:type="character" w:customStyle="1" w:styleId="79">
    <w:name w:val="text Char"/>
    <w:link w:val="77"/>
    <w:uiPriority w:val="0"/>
    <w:rPr>
      <w:rFonts w:ascii="Calibri" w:hAnsi="Calibri" w:eastAsia="宋体"/>
      <w:kern w:val="2"/>
      <w:sz w:val="24"/>
    </w:rPr>
  </w:style>
  <w:style w:type="paragraph" w:customStyle="1" w:styleId="80">
    <w:name w:val="bullet2"/>
    <w:basedOn w:val="77"/>
    <w:qFormat/>
    <w:uiPriority w:val="0"/>
    <w:pPr>
      <w:widowControl/>
      <w:numPr>
        <w:ilvl w:val="1"/>
        <w:numId w:val="6"/>
      </w:numPr>
      <w:tabs>
        <w:tab w:val="left" w:pos="360"/>
      </w:tabs>
      <w:spacing w:after="0"/>
      <w:ind w:left="0" w:firstLine="0"/>
      <w:jc w:val="left"/>
    </w:pPr>
    <w:rPr>
      <w:rFonts w:ascii="Times" w:hAnsi="Times"/>
      <w:szCs w:val="24"/>
      <w:lang w:val="en-GB"/>
    </w:rPr>
  </w:style>
  <w:style w:type="character" w:customStyle="1" w:styleId="81">
    <w:name w:val="bullet1 Char"/>
    <w:link w:val="78"/>
    <w:uiPriority w:val="0"/>
    <w:rPr>
      <w:rFonts w:ascii="Calibri" w:hAnsi="Calibri"/>
      <w:kern w:val="2"/>
      <w:sz w:val="24"/>
      <w:szCs w:val="24"/>
      <w:lang w:val="en-GB"/>
    </w:rPr>
  </w:style>
  <w:style w:type="paragraph" w:customStyle="1" w:styleId="82">
    <w:name w:val="bullet3"/>
    <w:basedOn w:val="77"/>
    <w:qFormat/>
    <w:uiPriority w:val="0"/>
    <w:pPr>
      <w:widowControl/>
      <w:numPr>
        <w:ilvl w:val="2"/>
        <w:numId w:val="6"/>
      </w:numPr>
      <w:tabs>
        <w:tab w:val="left" w:pos="360"/>
      </w:tabs>
      <w:spacing w:after="0"/>
      <w:ind w:left="0" w:firstLine="0"/>
      <w:jc w:val="left"/>
    </w:pPr>
    <w:rPr>
      <w:rFonts w:ascii="Times" w:hAnsi="Times" w:eastAsia="Batang"/>
      <w:kern w:val="0"/>
      <w:sz w:val="20"/>
      <w:szCs w:val="24"/>
      <w:lang w:val="en-GB" w:eastAsia="en-US"/>
    </w:rPr>
  </w:style>
  <w:style w:type="paragraph" w:customStyle="1" w:styleId="83">
    <w:name w:val="bullet4"/>
    <w:basedOn w:val="77"/>
    <w:qFormat/>
    <w:uiPriority w:val="0"/>
    <w:pPr>
      <w:widowControl/>
      <w:numPr>
        <w:ilvl w:val="3"/>
        <w:numId w:val="6"/>
      </w:numPr>
      <w:tabs>
        <w:tab w:val="left" w:pos="360"/>
      </w:tabs>
      <w:spacing w:after="0"/>
      <w:ind w:left="0" w:firstLine="0"/>
      <w:jc w:val="left"/>
    </w:pPr>
    <w:rPr>
      <w:rFonts w:ascii="Times" w:hAnsi="Times" w:eastAsia="Batang"/>
      <w:kern w:val="0"/>
      <w:sz w:val="20"/>
      <w:szCs w:val="24"/>
      <w:lang w:val="en-GB" w:eastAsia="en-US"/>
    </w:rPr>
  </w:style>
  <w:style w:type="paragraph" w:customStyle="1" w:styleId="84">
    <w:name w:val="TAL"/>
    <w:basedOn w:val="1"/>
    <w:link w:val="85"/>
    <w:qFormat/>
    <w:uiPriority w:val="0"/>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85">
    <w:name w:val="TAL Car"/>
    <w:link w:val="84"/>
    <w:qFormat/>
    <w:uiPriority w:val="0"/>
    <w:rPr>
      <w:rFonts w:ascii="Arial" w:hAnsi="Arial" w:eastAsia="Times New Roman"/>
      <w:sz w:val="18"/>
      <w:lang w:val="en-GB" w:eastAsia="ja-JP"/>
    </w:rPr>
  </w:style>
  <w:style w:type="paragraph" w:customStyle="1" w:styleId="86">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87">
    <w:name w:val="PL Char"/>
    <w:link w:val="86"/>
    <w:qFormat/>
    <w:uiPriority w:val="0"/>
    <w:rPr>
      <w:rFonts w:ascii="Courier New" w:hAnsi="Courier New" w:eastAsia="Times New Roman"/>
      <w:sz w:val="16"/>
    </w:rPr>
  </w:style>
  <w:style w:type="character" w:customStyle="1" w:styleId="88">
    <w:name w:val="Heading 1 Char"/>
    <w:basedOn w:val="27"/>
    <w:link w:val="2"/>
    <w:uiPriority w:val="0"/>
    <w:rPr>
      <w:rFonts w:ascii="Arial" w:hAnsi="Arial" w:cs="Arial"/>
      <w:b/>
      <w:bCs/>
      <w:kern w:val="32"/>
      <w:sz w:val="28"/>
      <w:szCs w:val="32"/>
    </w:rPr>
  </w:style>
  <w:style w:type="character" w:customStyle="1" w:styleId="89">
    <w:name w:val="Heading 2 Char"/>
    <w:basedOn w:val="27"/>
    <w:link w:val="4"/>
    <w:uiPriority w:val="0"/>
    <w:rPr>
      <w:rFonts w:ascii="Arial" w:hAnsi="Arial" w:eastAsia="MS Mincho" w:cs="Arial"/>
      <w:b/>
      <w:bCs/>
      <w:iCs/>
      <w:szCs w:val="28"/>
    </w:rPr>
  </w:style>
  <w:style w:type="character" w:customStyle="1" w:styleId="90">
    <w:name w:val="B1 Char1"/>
    <w:qFormat/>
    <w:uiPriority w:val="0"/>
    <w:rPr>
      <w:lang w:val="en-GB" w:eastAsia="en-US"/>
    </w:rPr>
  </w:style>
  <w:style w:type="paragraph" w:customStyle="1" w:styleId="91">
    <w:name w:val="B6"/>
    <w:basedOn w:val="60"/>
    <w:uiPriority w:val="0"/>
    <w:pPr>
      <w:overflowPunct/>
      <w:autoSpaceDE/>
      <w:autoSpaceDN/>
      <w:adjustRightInd/>
      <w:ind w:left="1985"/>
      <w:textAlignment w:val="auto"/>
    </w:pPr>
    <w:rPr>
      <w:rFonts w:eastAsia="Malgun Gothic"/>
      <w:lang w:eastAsia="en-US"/>
    </w:rPr>
  </w:style>
  <w:style w:type="character" w:styleId="92">
    <w:name w:val="Placeholder Text"/>
    <w:basedOn w:val="27"/>
    <w:semiHidden/>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A8AA61-C4D8-4036-A0A5-F9A3F77B1C51}">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3</Pages>
  <Words>1441</Words>
  <Characters>8220</Characters>
  <Lines>68</Lines>
  <Paragraphs>19</Paragraphs>
  <TotalTime>0</TotalTime>
  <ScaleCrop>false</ScaleCrop>
  <LinksUpToDate>false</LinksUpToDate>
  <CharactersWithSpaces>9642</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2019-05-01T17:27:00Z</dcterms:created>
  <dc:creator>DaTang Mobile</dc:creator>
  <cp:lastModifiedBy>ChenHao</cp:lastModifiedBy>
  <cp:lastPrinted>2007-08-28T14:45:00Z</cp:lastPrinted>
  <dcterms:modified xsi:type="dcterms:W3CDTF">2019-05-03T00:08:29Z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